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fill="EF6C00"/>
          </w:tcPr>
          <w:p>
            <w:pPr>
              <w:jc w:val="center"/>
            </w:pPr>
            <w:r>
              <w:rPr>
                <w:b/>
                <w:color w:val="FFFFFF"/>
                <w:sz w:val="40"/>
              </w:rPr>
              <w:t>SIPOC — Chantier / Construction (Modèle A4 à remplir)</w:t>
            </w:r>
          </w:p>
        </w:tc>
      </w:tr>
    </w:tbl>
    <w:p>
      <w:pPr>
        <w:jc w:val="center"/>
      </w:pPr>
      <w:r>
        <w:t>Affiche + tableau à compléter : cadrage, SIPOC, étapes du process, KPI/CTQ, risques et signatures.</w:t>
      </w:r>
    </w:p>
    <w:p/>
    <w:tbl>
      <w:tblPr>
        <w:tblW w:type="auto" w:w="0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fill="FFF3E0"/>
          </w:tcPr>
          <w:p>
            <w:pPr>
              <w:jc w:val="left"/>
            </w:pPr>
            <w:r>
              <w:rPr>
                <w:b/>
                <w:color w:val="000000"/>
                <w:sz w:val="26"/>
              </w:rPr>
              <w:t>Cadrage &amp; périmètre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2" w:color="FB8C00"/>
          <w:left w:val="single" w:sz="12" w:color="FB8C00"/>
          <w:bottom w:val="single" w:sz="12" w:color="FB8C00"/>
          <w:right w:val="single" w:sz="12" w:color="FB8C00"/>
          <w:insideH w:val="single" w:sz="6" w:color="FB8C00"/>
          <w:insideV w:val="single" w:sz="6" w:color="FB8C00"/>
        </w:tblBorders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  <w:top w:w="100" w:type="dxa"/>
            <w:start w:w="120" w:type="dxa"/>
            <w:bottom w:w="140" w:type="dxa"/>
            <w:end w:w="120" w:type="dxa"/>
          </w:tcPr>
          <w:p>
            <w:r>
              <w:rPr>
                <w:b/>
                <w:sz w:val="18"/>
              </w:rPr>
              <w:t>Processus / Titre</w:t>
            </w:r>
          </w:p>
          <w:p>
            <w:r>
              <w:t xml:space="preserve">                                                                                </w:t>
            </w:r>
          </w:p>
        </w:tc>
        <w:tc>
          <w:tcPr>
            <w:tcW w:type="dxa" w:w="2635"/>
            <w:top w:w="100" w:type="dxa"/>
            <w:start w:w="120" w:type="dxa"/>
            <w:bottom w:w="140" w:type="dxa"/>
            <w:end w:w="120" w:type="dxa"/>
          </w:tcPr>
          <w:p>
            <w:r>
              <w:rPr>
                <w:b/>
                <w:sz w:val="18"/>
              </w:rPr>
              <w:t>Propriétaire (Process Owner)</w:t>
            </w:r>
          </w:p>
          <w:p>
            <w:r>
              <w:t xml:space="preserve">                                                                                </w:t>
            </w:r>
          </w:p>
        </w:tc>
        <w:tc>
          <w:tcPr>
            <w:tcW w:type="dxa" w:w="2635"/>
            <w:top w:w="100" w:type="dxa"/>
            <w:start w:w="120" w:type="dxa"/>
            <w:bottom w:w="140" w:type="dxa"/>
            <w:end w:w="120" w:type="dxa"/>
          </w:tcPr>
          <w:p>
            <w:r>
              <w:rPr>
                <w:b/>
                <w:sz w:val="18"/>
              </w:rPr>
              <w:t>Objectif (CTQ) / Valeur client</w:t>
            </w:r>
          </w:p>
          <w:p>
            <w:r>
              <w:t xml:space="preserve">                                                                                </w:t>
            </w:r>
          </w:p>
        </w:tc>
        <w:tc>
          <w:tcPr>
            <w:tcW w:type="dxa" w:w="2635"/>
            <w:top w:w="100" w:type="dxa"/>
            <w:start w:w="120" w:type="dxa"/>
            <w:bottom w:w="140" w:type="dxa"/>
            <w:end w:w="120" w:type="dxa"/>
          </w:tcPr>
          <w:p>
            <w:r>
              <w:rPr>
                <w:b/>
                <w:sz w:val="18"/>
              </w:rPr>
              <w:t>Périmètre (de… à…)</w:t>
            </w:r>
          </w:p>
          <w:p>
            <w:r>
              <w:t xml:space="preserve">                                                                                </w:t>
            </w:r>
          </w:p>
        </w:tc>
      </w:tr>
      <w:tr>
        <w:tc>
          <w:tcPr>
            <w:tcW w:type="dxa" w:w="2635"/>
            <w:top w:w="100" w:type="dxa"/>
            <w:start w:w="120" w:type="dxa"/>
            <w:bottom w:w="140" w:type="dxa"/>
            <w:end w:w="120" w:type="dxa"/>
          </w:tcPr>
          <w:p>
            <w:r>
              <w:rPr>
                <w:b/>
                <w:sz w:val="18"/>
              </w:rPr>
              <w:t>Parties prenantes clés</w:t>
            </w:r>
          </w:p>
          <w:p>
            <w:r>
              <w:t xml:space="preserve">                                                                                </w:t>
            </w:r>
          </w:p>
        </w:tc>
        <w:tc>
          <w:tcPr>
            <w:tcW w:type="dxa" w:w="2635"/>
            <w:top w:w="100" w:type="dxa"/>
            <w:start w:w="120" w:type="dxa"/>
            <w:bottom w:w="140" w:type="dxa"/>
            <w:end w:w="120" w:type="dxa"/>
          </w:tcPr>
          <w:p>
            <w:r>
              <w:rPr>
                <w:b/>
                <w:sz w:val="18"/>
              </w:rPr>
              <w:t>Déclencheur / Entrée du flux</w:t>
            </w:r>
          </w:p>
          <w:p>
            <w:r>
              <w:t xml:space="preserve">                                                                                </w:t>
            </w:r>
          </w:p>
        </w:tc>
        <w:tc>
          <w:tcPr>
            <w:tcW w:type="dxa" w:w="2635"/>
            <w:top w:w="100" w:type="dxa"/>
            <w:start w:w="120" w:type="dxa"/>
            <w:bottom w:w="140" w:type="dxa"/>
            <w:end w:w="120" w:type="dxa"/>
          </w:tcPr>
          <w:p>
            <w:r>
              <w:rPr>
                <w:b/>
                <w:sz w:val="18"/>
              </w:rPr>
              <w:t>Date / Version</w:t>
            </w:r>
          </w:p>
          <w:p>
            <w:r>
              <w:t xml:space="preserve">                                                                                </w:t>
            </w:r>
          </w:p>
        </w:tc>
        <w:tc>
          <w:tcPr>
            <w:tcW w:type="dxa" w:w="2635"/>
            <w:top w:w="100" w:type="dxa"/>
            <w:start w:w="120" w:type="dxa"/>
            <w:bottom w:w="140" w:type="dxa"/>
            <w:end w:w="120" w:type="dxa"/>
          </w:tcPr>
          <w:p>
            <w:r>
              <w:rPr>
                <w:b/>
                <w:sz w:val="18"/>
              </w:rPr>
              <w:t>Contraintes / Règles</w:t>
            </w:r>
          </w:p>
          <w:p>
            <w:r>
              <w:t xml:space="preserve">                                                                                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fill="FFF3E0"/>
          </w:tcPr>
          <w:p>
            <w:pPr>
              <w:jc w:val="left"/>
            </w:pPr>
            <w:r>
              <w:rPr>
                <w:b/>
                <w:color w:val="000000"/>
                <w:sz w:val="26"/>
              </w:rPr>
              <w:t>SIPOC — Vue d’ensemble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2" w:color="FB8C00"/>
          <w:left w:val="single" w:sz="12" w:color="FB8C00"/>
          <w:bottom w:val="single" w:sz="12" w:color="FB8C00"/>
          <w:right w:val="single" w:sz="12" w:color="FB8C00"/>
          <w:insideH w:val="single" w:sz="6" w:color="FB8C00"/>
          <w:insideV w:val="single" w:sz="6" w:color="FB8C00"/>
        </w:tblBorders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  <w:top w:w="100" w:type="dxa"/>
            <w:start w:w="120" w:type="dxa"/>
            <w:bottom w:w="100" w:type="dxa"/>
            <w:end w:w="120" w:type="dxa"/>
            <w:shd w:val="clear" w:fill="FFF8E1"/>
          </w:tcPr>
          <w:p>
            <w:pPr>
              <w:jc w:val="center"/>
            </w:pPr>
            <w:r>
              <w:rPr>
                <w:b/>
                <w:sz w:val="18"/>
              </w:rPr>
              <w:t>SUPPLIERS (Fournisseurs)</w:t>
            </w:r>
          </w:p>
        </w:tc>
        <w:tc>
          <w:tcPr>
            <w:tcW w:type="dxa" w:w="2108"/>
            <w:top w:w="100" w:type="dxa"/>
            <w:start w:w="120" w:type="dxa"/>
            <w:bottom w:w="100" w:type="dxa"/>
            <w:end w:w="120" w:type="dxa"/>
            <w:shd w:val="clear" w:fill="FFF8E1"/>
          </w:tcPr>
          <w:p>
            <w:pPr>
              <w:jc w:val="center"/>
            </w:pPr>
            <w:r>
              <w:rPr>
                <w:b/>
                <w:sz w:val="18"/>
              </w:rPr>
              <w:t>INPUTS (Entrées)</w:t>
            </w:r>
          </w:p>
        </w:tc>
        <w:tc>
          <w:tcPr>
            <w:tcW w:type="dxa" w:w="2108"/>
            <w:top w:w="100" w:type="dxa"/>
            <w:start w:w="120" w:type="dxa"/>
            <w:bottom w:w="100" w:type="dxa"/>
            <w:end w:w="120" w:type="dxa"/>
            <w:shd w:val="clear" w:fill="FFF8E1"/>
          </w:tcPr>
          <w:p>
            <w:pPr>
              <w:jc w:val="center"/>
            </w:pPr>
            <w:r>
              <w:rPr>
                <w:b/>
                <w:sz w:val="18"/>
              </w:rPr>
              <w:t>PROCESS (Étapes 1→n)</w:t>
            </w:r>
          </w:p>
        </w:tc>
        <w:tc>
          <w:tcPr>
            <w:tcW w:type="dxa" w:w="2108"/>
            <w:top w:w="100" w:type="dxa"/>
            <w:start w:w="120" w:type="dxa"/>
            <w:bottom w:w="100" w:type="dxa"/>
            <w:end w:w="120" w:type="dxa"/>
            <w:shd w:val="clear" w:fill="FFF8E1"/>
          </w:tcPr>
          <w:p>
            <w:pPr>
              <w:jc w:val="center"/>
            </w:pPr>
            <w:r>
              <w:rPr>
                <w:b/>
                <w:sz w:val="18"/>
              </w:rPr>
              <w:t>OUTPUTS (Sorties)</w:t>
            </w:r>
          </w:p>
        </w:tc>
        <w:tc>
          <w:tcPr>
            <w:tcW w:type="dxa" w:w="2108"/>
            <w:top w:w="100" w:type="dxa"/>
            <w:start w:w="120" w:type="dxa"/>
            <w:bottom w:w="100" w:type="dxa"/>
            <w:end w:w="120" w:type="dxa"/>
            <w:shd w:val="clear" w:fill="FFF8E1"/>
          </w:tcPr>
          <w:p>
            <w:pPr>
              <w:jc w:val="center"/>
            </w:pPr>
            <w:r>
              <w:rPr>
                <w:b/>
                <w:sz w:val="18"/>
              </w:rPr>
              <w:t>CUSTOMERS (Clients)</w:t>
            </w:r>
          </w:p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fill="FFF3E0"/>
          </w:tcPr>
          <w:p>
            <w:pPr>
              <w:jc w:val="left"/>
            </w:pPr>
            <w:r>
              <w:rPr>
                <w:b/>
                <w:color w:val="000000"/>
                <w:sz w:val="26"/>
              </w:rPr>
              <w:t>Étapes du process — description détaillée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2" w:color="FB8C00"/>
          <w:left w:val="single" w:sz="12" w:color="FB8C00"/>
          <w:bottom w:val="single" w:sz="12" w:color="FB8C00"/>
          <w:right w:val="single" w:sz="12" w:color="FB8C00"/>
          <w:insideH w:val="single" w:sz="6" w:color="FB8C00"/>
          <w:insideV w:val="single" w:sz="6" w:color="FB8C00"/>
        </w:tblBorders>
      </w:tblPr>
      <w:tblGrid>
        <w:gridCol w:w="1757"/>
        <w:gridCol w:w="1757"/>
        <w:gridCol w:w="1757"/>
        <w:gridCol w:w="1757"/>
        <w:gridCol w:w="1757"/>
        <w:gridCol w:w="1757"/>
      </w:tblGrid>
      <w:tr>
        <w:tc>
          <w:tcPr>
            <w:tcW w:type="dxa" w:w="1757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# Étape</w:t>
            </w:r>
          </w:p>
        </w:tc>
        <w:tc>
          <w:tcPr>
            <w:tcW w:type="dxa" w:w="1757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Description</w:t>
            </w:r>
          </w:p>
        </w:tc>
        <w:tc>
          <w:tcPr>
            <w:tcW w:type="dxa" w:w="1757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Acteur / Rôle</w:t>
            </w:r>
          </w:p>
        </w:tc>
        <w:tc>
          <w:tcPr>
            <w:tcW w:type="dxa" w:w="1757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Outils / Systèmes</w:t>
            </w:r>
          </w:p>
        </w:tc>
        <w:tc>
          <w:tcPr>
            <w:tcW w:type="dxa" w:w="1757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CTQ liée</w:t>
            </w:r>
          </w:p>
        </w:tc>
        <w:tc>
          <w:tcPr>
            <w:tcW w:type="dxa" w:w="1757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Doc / Réf.</w:t>
            </w:r>
          </w:p>
        </w:tc>
      </w:tr>
      <w:tr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fill="FFF3E0"/>
          </w:tcPr>
          <w:p>
            <w:pPr>
              <w:jc w:val="left"/>
            </w:pPr>
            <w:r>
              <w:rPr>
                <w:b/>
                <w:color w:val="000000"/>
                <w:sz w:val="26"/>
              </w:rPr>
              <w:t>Indicateurs (KPI) &amp; CTQ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2" w:color="FB8C00"/>
          <w:left w:val="single" w:sz="12" w:color="FB8C00"/>
          <w:bottom w:val="single" w:sz="12" w:color="FB8C00"/>
          <w:right w:val="single" w:sz="12" w:color="FB8C00"/>
          <w:insideH w:val="single" w:sz="6" w:color="FB8C00"/>
          <w:insideV w:val="single" w:sz="6" w:color="FB8C00"/>
        </w:tblBorders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Indicateur / formule</w:t>
            </w:r>
          </w:p>
        </w:tc>
        <w:tc>
          <w:tcPr>
            <w:tcW w:type="dxa" w:w="2635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Cible</w:t>
            </w:r>
          </w:p>
        </w:tc>
        <w:tc>
          <w:tcPr>
            <w:tcW w:type="dxa" w:w="2635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Fréquence / Source de données</w:t>
            </w:r>
          </w:p>
        </w:tc>
        <w:tc>
          <w:tcPr>
            <w:tcW w:type="dxa" w:w="2635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Responsable</w:t>
            </w:r>
          </w:p>
        </w:tc>
      </w:tr>
      <w:tr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fill="FFF3E0"/>
          </w:tcPr>
          <w:p>
            <w:pPr>
              <w:jc w:val="left"/>
            </w:pPr>
            <w:r>
              <w:rPr>
                <w:b/>
                <w:color w:val="000000"/>
                <w:sz w:val="26"/>
              </w:rPr>
              <w:t>Risques &amp; contrôles (AMDEC / causes critiques)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2" w:color="FB8C00"/>
          <w:left w:val="single" w:sz="12" w:color="FB8C00"/>
          <w:bottom w:val="single" w:sz="12" w:color="FB8C00"/>
          <w:right w:val="single" w:sz="12" w:color="FB8C00"/>
          <w:insideH w:val="single" w:sz="6" w:color="FB8C00"/>
          <w:insideV w:val="single" w:sz="6" w:color="FB8C00"/>
        </w:tblBorders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Risque / Cause</w:t>
            </w:r>
          </w:p>
        </w:tc>
        <w:tc>
          <w:tcPr>
            <w:tcW w:type="dxa" w:w="2108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Effet</w:t>
            </w:r>
          </w:p>
        </w:tc>
        <w:tc>
          <w:tcPr>
            <w:tcW w:type="dxa" w:w="2108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Gravité</w:t>
            </w:r>
          </w:p>
        </w:tc>
        <w:tc>
          <w:tcPr>
            <w:tcW w:type="dxa" w:w="2108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Maîtrise existante</w:t>
            </w:r>
          </w:p>
        </w:tc>
        <w:tc>
          <w:tcPr>
            <w:tcW w:type="dxa" w:w="2108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Actions / Responsable / Échéance</w:t>
            </w:r>
          </w:p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fill="FFF3E0"/>
          </w:tcPr>
          <w:p>
            <w:pPr>
              <w:jc w:val="left"/>
            </w:pPr>
            <w:r>
              <w:rPr>
                <w:b/>
                <w:color w:val="000000"/>
                <w:sz w:val="26"/>
              </w:rPr>
              <w:t>Validation &amp; diffusion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2" w:color="FB8C00"/>
          <w:left w:val="single" w:sz="12" w:color="FB8C00"/>
          <w:bottom w:val="single" w:sz="12" w:color="FB8C00"/>
          <w:right w:val="single" w:sz="12" w:color="FB8C00"/>
          <w:insideH w:val="single" w:sz="6" w:color="FB8C00"/>
          <w:insideV w:val="single" w:sz="6" w:color="FB8C00"/>
        </w:tblBorders>
      </w:tblPr>
      <w:tblGrid>
        <w:gridCol w:w="3513"/>
        <w:gridCol w:w="3513"/>
        <w:gridCol w:w="3513"/>
      </w:tblGrid>
      <w:tr>
        <w:tc>
          <w:tcPr>
            <w:tcW w:type="dxa" w:w="3513"/>
            <w:top w:w="140" w:type="dxa"/>
            <w:start w:w="120" w:type="dxa"/>
            <w:bottom w:w="160" w:type="dxa"/>
            <w:end w:w="120" w:type="dxa"/>
          </w:tcPr>
          <w:p>
            <w:r>
              <w:rPr>
                <w:sz w:val="20"/>
              </w:rPr>
              <w:t>Process Owner / Référent — Visa / Date : __________________</w:t>
            </w:r>
          </w:p>
        </w:tc>
        <w:tc>
          <w:tcPr>
            <w:tcW w:type="dxa" w:w="3513"/>
            <w:top w:w="140" w:type="dxa"/>
            <w:start w:w="120" w:type="dxa"/>
            <w:bottom w:w="160" w:type="dxa"/>
            <w:end w:w="120" w:type="dxa"/>
          </w:tcPr>
          <w:p>
            <w:r>
              <w:rPr>
                <w:sz w:val="20"/>
              </w:rPr>
              <w:t>Direction / Sponsor — Visa / Date : __________________</w:t>
            </w:r>
          </w:p>
        </w:tc>
        <w:tc>
          <w:tcPr>
            <w:tcW w:type="dxa" w:w="3513"/>
            <w:top w:w="140" w:type="dxa"/>
            <w:start w:w="120" w:type="dxa"/>
            <w:bottom w:w="160" w:type="dxa"/>
            <w:end w:w="120" w:type="dxa"/>
          </w:tcPr>
          <w:p>
            <w:r>
              <w:rPr>
                <w:sz w:val="20"/>
              </w:rPr>
              <w:t>Diffusion (équipe / service) — Visa / Date : __________________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680" w:right="850" w:bottom="68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5A5A5A"/>
        <w:sz w:val="18"/>
      </w:rPr>
      <w:t>lecoursgratuit.com — Modèle SIPOC (Chantier / Construction) — A4 Affiche &amp; tableau à remplir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