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PROPOSITION COMMERCIALE — ROI &amp; RÉSULTATS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DF0FF"/>
          </w:tcPr>
          <w:p>
            <w:r>
              <w:rPr>
                <w:b/>
                <w:sz w:val="21"/>
              </w:rPr>
              <w:t xml:space="preserve">Baseline (situation de départ) : 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DF0FF"/>
          </w:tcPr>
          <w:p>
            <w:r>
              <w:rPr>
                <w:b/>
                <w:sz w:val="21"/>
              </w:rPr>
              <w:t xml:space="preserve">Cibles (KPI) : 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DF0FF"/>
          </w:tcPr>
          <w:p>
            <w:r>
              <w:rPr>
                <w:b/>
                <w:sz w:val="21"/>
              </w:rPr>
              <w:t xml:space="preserve">Horizon &amp; hypothèses : </w:t>
            </w:r>
          </w:p>
        </w:tc>
      </w:tr>
    </w:tbl>
    <w:p>
      <w:r>
        <w:rPr>
          <w:b/>
          <w:sz w:val="24"/>
        </w:rPr>
        <w:t>Scénario de ROI (central / prudent)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96"/>
        <w:gridCol w:w="2896"/>
        <w:gridCol w:w="2896"/>
        <w:gridCol w:w="2896"/>
        <w:gridCol w:w="2896"/>
      </w:tblGrid>
      <w:tr>
        <w:tc>
          <w:tcPr>
            <w:tcW w:type="dxa" w:w="4082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Axe de valeur</w:t>
            </w:r>
          </w:p>
        </w:tc>
        <w:tc>
          <w:tcPr>
            <w:tcW w:type="dxa" w:w="2721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Avant</w:t>
            </w:r>
          </w:p>
        </w:tc>
        <w:tc>
          <w:tcPr>
            <w:tcW w:type="dxa" w:w="2721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Après (cible)</w:t>
            </w:r>
          </w:p>
        </w:tc>
        <w:tc>
          <w:tcPr>
            <w:tcW w:type="dxa" w:w="3118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Gain estimé</w:t>
            </w:r>
          </w:p>
        </w:tc>
        <w:tc>
          <w:tcPr>
            <w:tcW w:type="dxa" w:w="2835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Méthode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08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721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118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Investissement &amp; retour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4535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Investissement total (HT)</w:t>
            </w:r>
          </w:p>
        </w:tc>
        <w:tc>
          <w:tcPr>
            <w:tcW w:type="dxa" w:w="3685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Économie mensuelle</w:t>
            </w:r>
          </w:p>
        </w:tc>
        <w:tc>
          <w:tcPr>
            <w:tcW w:type="dxa" w:w="3685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Point mort (mois)</w:t>
            </w:r>
          </w:p>
        </w:tc>
        <w:tc>
          <w:tcPr>
            <w:tcW w:type="dxa" w:w="3572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ROI à 12 mois</w:t>
            </w:r>
          </w:p>
        </w:tc>
      </w:tr>
      <w:tr>
        <w:tc>
          <w:tcPr>
            <w:tcW w:type="dxa" w:w="45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8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8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3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8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68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Prestation — périmètre &amp; jalons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Lot / Domaine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Livrables commerciaux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Jalons &amp; délais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Conditions / garanties / résiliation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Paiement &amp; pénalités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SLA &amp; garanties</w:t>
            </w:r>
          </w:p>
        </w:tc>
        <w:tc>
          <w:tcPr>
            <w:tcW w:type="dxa" w:w="5159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Résiliation &amp; PI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59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Signature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6236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Client — Nom, fonction, signature</w:t>
            </w:r>
          </w:p>
        </w:tc>
        <w:tc>
          <w:tcPr>
            <w:tcW w:type="dxa" w:w="6236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Prestataire — Nom, signature</w:t>
            </w:r>
          </w:p>
        </w:tc>
        <w:tc>
          <w:tcPr>
            <w:tcW w:type="dxa" w:w="3005"/>
            <w:tcBorders>
              <w:top w:val="single" w:sz="8" w:space="0" w:color="8BA2FF"/>
              <w:left w:val="single" w:sz="8" w:space="0" w:color="8BA2FF"/>
              <w:bottom w:val="single" w:sz="8" w:space="0" w:color="8BA2FF"/>
              <w:right w:val="single" w:sz="8" w:space="0" w:color="8BA2FF"/>
            </w:tcBorders>
            <w:shd w:val="clear" w:color="auto" w:fill="E6E9FF"/>
          </w:tcPr>
          <w:p>
            <w:pPr>
              <w:jc w:val="center"/>
            </w:pPr>
            <w:r>
              <w:rPr>
                <w:b/>
                <w:sz w:val="21"/>
              </w:rPr>
              <w:t>Date / Lieu</w:t>
            </w:r>
          </w:p>
        </w:tc>
      </w:tr>
      <w:tr>
        <w:tc>
          <w:tcPr>
            <w:tcW w:type="dxa" w:w="6236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6236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005"/>
            <w:tcBorders>
              <w:top w:val="single" w:sz="6" w:space="0" w:color="8BA2FF"/>
              <w:left w:val="single" w:sz="6" w:space="0" w:color="8BA2FF"/>
              <w:bottom w:val="single" w:sz="6" w:space="0" w:color="8BA2FF"/>
              <w:right w:val="single" w:sz="6" w:space="0" w:color="8BA2FF"/>
            </w:tcBorders>
            <w:shd w:val="clear" w:color="auto" w:fill="F4F6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Proposition commerciale (modèle gratuit) — A4 paysage — Offre ROI &amp; Résultats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