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163A5F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Posters — Valeurs par département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A4 portrait • déclinaisons concrètes</w:t>
            </w:r>
          </w:p>
        </w:tc>
      </w:tr>
    </w:tbl>
    <w:p/>
    <w:p>
      <w:r>
        <w:t>Chaque poster adapte une valeur aux gestes quotidiens du département concerné (3 comportements + Do/Don’t).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003366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Sales (Commercial) — Orientation client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Créer de la valeur mesurable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Formuler 3 critères d’acceptation avant l’offre.</w:t>
            </w:r>
          </w:p>
          <w:p>
            <w:r>
              <w:rPr>
                <w:sz w:val="28"/>
              </w:rPr>
              <w:t>• Tenir la promesse : pas de fonctionnalités fantômes.</w:t>
            </w:r>
          </w:p>
          <w:p>
            <w:r>
              <w:rPr>
                <w:sz w:val="28"/>
              </w:rPr>
              <w:t>• Plan de suivi à J+7 : un retour client structuré.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Écoute active, qualification précise, engagements datés</w:t>
                  </w:r>
                </w:p>
              </w:tc>
              <w:tc>
                <w:tcPr>
                  <w:tcW w:type="dxa" w:w="2466"/>
                </w:tcPr>
                <w:p>
                  <w:r>
                    <w:t>Surpromettre, flouter les limites, ignorer le suivi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1B5E20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Opérations — Excellence &amp; Qualité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Précision, fiabilité, standard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Appliquer/mettre à jour le standard de travail.</w:t>
            </w:r>
          </w:p>
          <w:p>
            <w:r>
              <w:rPr>
                <w:sz w:val="28"/>
              </w:rPr>
              <w:t>• 5-Why express sur incident puis action cause racine.</w:t>
            </w:r>
          </w:p>
          <w:p>
            <w:r>
              <w:rPr>
                <w:sz w:val="28"/>
              </w:rPr>
              <w:t>• Visuel d’état : “fini/pas fini/bloqué” clair.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Standard clair, contrôle simple, amélioration continue</w:t>
                  </w:r>
                </w:p>
              </w:tc>
              <w:tc>
                <w:tcPr>
                  <w:tcW w:type="dxa" w:w="2466"/>
                </w:tcPr>
                <w:p>
                  <w:r>
                    <w:t>Bricolages invisibles, non-dit sur les blocages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4A148C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IT / Produit — Innovation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Tester petit, apprendre vite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Micro-expérience ≤ 1 semaine avec métrique.</w:t>
            </w:r>
          </w:p>
          <w:p>
            <w:r>
              <w:rPr>
                <w:sz w:val="28"/>
              </w:rPr>
              <w:t>• Revue de code/paire hebdomadaire (15 min).</w:t>
            </w:r>
          </w:p>
          <w:p>
            <w:r>
              <w:rPr>
                <w:sz w:val="28"/>
              </w:rPr>
              <w:t>• Changelog lisible et partage d’apprentissage.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Hypothèse testable, métrique, post-mortem léger</w:t>
                  </w:r>
                </w:p>
              </w:tc>
              <w:tc>
                <w:tcPr>
                  <w:tcW w:type="dxa" w:w="2466"/>
                </w:tcPr>
                <w:p>
                  <w:r>
                    <w:t>Projets tunnels, refontes sans preuve d’impact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AD1457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Ressources Humaines — Inclusion &amp; Respect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Chacun a sa place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Scorecard anti-biais au recrutement.</w:t>
            </w:r>
          </w:p>
          <w:p>
            <w:r>
              <w:rPr>
                <w:sz w:val="28"/>
              </w:rPr>
              <w:t>• Tour de table incontournable en instance RH.</w:t>
            </w:r>
          </w:p>
          <w:p>
            <w:r>
              <w:rPr>
                <w:sz w:val="28"/>
              </w:rPr>
              <w:t>• Traitement rapide des signaux faibles (harcèlement).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Process équitable, écoute, traçabilité</w:t>
                  </w:r>
                </w:p>
              </w:tc>
              <w:tc>
                <w:tcPr>
                  <w:tcW w:type="dxa" w:w="2466"/>
                </w:tcPr>
                <w:p>
                  <w:r>
                    <w:t>Tolérer les propos discriminants, retards de traitement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fill="0D47A1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Support / Service client — Responsabilité &amp; Ownership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Prendre en charge et résoudre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rPr>
                <w:b/>
                <w:sz w:val="32"/>
              </w:rPr>
              <w:t>Comportements observables</w:t>
            </w:r>
          </w:p>
          <w:p>
            <w:r>
              <w:rPr>
                <w:sz w:val="28"/>
              </w:rPr>
              <w:t>• Accusé de réception en &lt; 4 h ouvrées.</w:t>
            </w:r>
          </w:p>
          <w:p>
            <w:r>
              <w:rPr>
                <w:sz w:val="28"/>
              </w:rPr>
              <w:t>• Plan de résolution + ETA clair au client.</w:t>
            </w:r>
          </w:p>
          <w:p>
            <w:r>
              <w:rPr>
                <w:sz w:val="28"/>
              </w:rPr>
              <w:t>• REX mensuel : 3 faits + 1 piste d’amélioration.</w:t>
            </w:r>
          </w:p>
        </w:tc>
        <w:tc>
          <w:tcPr>
            <w:tcW w:type="dxa" w:w="4933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466"/>
              <w:gridCol w:w="2466"/>
            </w:tblGrid>
            <w:tr>
              <w:tc>
                <w:tcPr>
                  <w:tcW w:type="dxa" w:w="2466"/>
                  <w:shd w:fill="E9F7EF"/>
                </w:tcPr>
                <w:p>
                  <w:r>
                    <w:t>Do (à faire)</w:t>
                  </w:r>
                </w:p>
              </w:tc>
              <w:tc>
                <w:tcPr>
                  <w:tcW w:type="dxa" w:w="2466"/>
                  <w:shd w:fill="FCE4EC"/>
                </w:tcPr>
                <w:p>
                  <w:r>
                    <w:t>Don’t (à éviter)</w:t>
                  </w:r>
                </w:p>
              </w:tc>
            </w:tr>
            <w:tr>
              <w:tc>
                <w:tcPr>
                  <w:tcW w:type="dxa" w:w="2466"/>
                </w:tcPr>
                <w:p>
                  <w:r>
                    <w:t>Transparence, suivi proactif, clôture propre</w:t>
                  </w:r>
                </w:p>
              </w:tc>
              <w:tc>
                <w:tcPr>
                  <w:tcW w:type="dxa" w:w="2466"/>
                </w:tcPr>
                <w:p>
                  <w:r>
                    <w:t>Laisser en attente, réponses vagues, pas de REX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Posters — Support / Service client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