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0"/>
        </w:rPr>
        <w:t>PROCURE-TO-PAY — CHECK-LIST DE CONTRÔLE (A4)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Entité / Site</w:t>
            </w:r>
          </w:p>
        </w:tc>
        <w:tc>
          <w:tcPr>
            <w:tcW w:type="dxa" w:w="2580"/>
          </w:tcPr>
          <w:p>
            <w:r>
              <w:t>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2580"/>
          </w:tcPr>
          <w:p>
            <w:r>
              <w:t>__________________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N° Dossier / Projet</w:t>
            </w:r>
          </w:p>
        </w:tc>
        <w:tc>
          <w:tcPr>
            <w:tcW w:type="dxa" w:w="2580"/>
          </w:tcPr>
          <w:p>
            <w:r>
              <w:t>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Acheteur</w:t>
            </w:r>
          </w:p>
        </w:tc>
        <w:tc>
          <w:tcPr>
            <w:tcW w:type="dxa" w:w="2580"/>
          </w:tcPr>
          <w:p>
            <w:r>
              <w:t>__________________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80"/>
          </w:tcPr>
          <w:p>
            <w:r>
              <w:t>____ / ____ / 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Montant TTC</w:t>
            </w:r>
          </w:p>
        </w:tc>
        <w:tc>
          <w:tcPr>
            <w:tcW w:type="dxa" w:w="2580"/>
          </w:tcPr>
          <w:p>
            <w:r>
              <w:t>________ €</w:t>
            </w:r>
          </w:p>
        </w:tc>
      </w:tr>
    </w:tbl>
    <w:p/>
    <w:p>
      <w:r>
        <w:rPr>
          <w:sz w:val="21"/>
        </w:rPr>
        <w:t>Légende :  ☐ À faire   ☐ N/A   ☑ Fait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64"/>
        <w:gridCol w:w="2064"/>
        <w:gridCol w:w="2064"/>
        <w:gridCol w:w="2064"/>
        <w:gridCol w:w="2064"/>
      </w:tblGrid>
      <w:tr>
        <w:tc>
          <w:tcPr>
            <w:tcW w:type="dxa" w:w="2064"/>
            <w:shd w:val="clear" w:color="auto" w:fill="D9E1F2"/>
          </w:tcPr>
          <w:p>
            <w:r>
              <w:rPr>
                <w:b/>
              </w:rPr>
              <w:t>Étape</w:t>
            </w:r>
          </w:p>
        </w:tc>
        <w:tc>
          <w:tcPr>
            <w:tcW w:type="dxa" w:w="2064"/>
            <w:shd w:val="clear" w:color="auto" w:fill="D9E1F2"/>
          </w:tcPr>
          <w:p>
            <w:r>
              <w:rPr>
                <w:b/>
              </w:rPr>
              <w:t>Points de contrôle</w:t>
            </w:r>
          </w:p>
        </w:tc>
        <w:tc>
          <w:tcPr>
            <w:tcW w:type="dxa" w:w="2064"/>
            <w:shd w:val="clear" w:color="auto" w:fill="D9E1F2"/>
          </w:tcPr>
          <w:p>
            <w:r>
              <w:rPr>
                <w:b/>
              </w:rPr>
              <w:t>OK</w:t>
            </w:r>
          </w:p>
        </w:tc>
        <w:tc>
          <w:tcPr>
            <w:tcW w:type="dxa" w:w="2064"/>
            <w:shd w:val="clear" w:color="auto" w:fill="D9E1F2"/>
          </w:tcPr>
          <w:p>
            <w:r>
              <w:rPr>
                <w:b/>
              </w:rPr>
              <w:t>N/A</w:t>
            </w:r>
          </w:p>
        </w:tc>
        <w:tc>
          <w:tcPr>
            <w:tcW w:type="dxa" w:w="2064"/>
            <w:shd w:val="clear" w:color="auto" w:fill="D9E1F2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2064"/>
            <w:vAlign w:val="center"/>
          </w:tcPr>
          <w:p>
            <w:r>
              <w:t>DA</w:t>
            </w:r>
          </w:p>
        </w:tc>
        <w:tc>
          <w:tcPr>
            <w:tcW w:type="dxa" w:w="2064"/>
            <w:vAlign w:val="center"/>
          </w:tcPr>
          <w:p>
            <w:r>
              <w:t>Besoin cadré (objet, quantité, délai), centre de coût, budget validé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DA</w:t>
            </w:r>
          </w:p>
        </w:tc>
        <w:tc>
          <w:tcPr>
            <w:tcW w:type="dxa" w:w="2064"/>
            <w:vAlign w:val="center"/>
          </w:tcPr>
          <w:p>
            <w:r>
              <w:t>Seuils &amp; visas conformes (pouvoirs de signature)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Sourcing</w:t>
            </w:r>
          </w:p>
        </w:tc>
        <w:tc>
          <w:tcPr>
            <w:tcW w:type="dxa" w:w="2064"/>
            <w:vAlign w:val="center"/>
          </w:tcPr>
          <w:p>
            <w:r>
              <w:t>2+ devis comparés ou justification du mono-fournisseur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Sourcing</w:t>
            </w:r>
          </w:p>
        </w:tc>
        <w:tc>
          <w:tcPr>
            <w:tcW w:type="dxa" w:w="2064"/>
            <w:vAlign w:val="center"/>
          </w:tcPr>
          <w:p>
            <w:r>
              <w:t>Incoterm + lieu, délais, garanties, pénalités renseignés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BC</w:t>
            </w:r>
          </w:p>
        </w:tc>
        <w:tc>
          <w:tcPr>
            <w:tcW w:type="dxa" w:w="2064"/>
            <w:vAlign w:val="center"/>
          </w:tcPr>
          <w:p>
            <w:r>
              <w:t>BC numéroté, conditions de paiement &amp; taxes correctes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BC</w:t>
            </w:r>
          </w:p>
        </w:tc>
        <w:tc>
          <w:tcPr>
            <w:tcW w:type="dxa" w:w="2064"/>
            <w:vAlign w:val="center"/>
          </w:tcPr>
          <w:p>
            <w:r>
              <w:t>Livraisons partielles autorisées ? Contact logistique indiqué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Réception</w:t>
            </w:r>
          </w:p>
        </w:tc>
        <w:tc>
          <w:tcPr>
            <w:tcW w:type="dxa" w:w="2064"/>
            <w:vAlign w:val="center"/>
          </w:tcPr>
          <w:p>
            <w:r>
              <w:t>Qté PO =? Qté reçue ; état emballage ; références/lots OK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Réception</w:t>
            </w:r>
          </w:p>
        </w:tc>
        <w:tc>
          <w:tcPr>
            <w:tcW w:type="dxa" w:w="2064"/>
            <w:vAlign w:val="center"/>
          </w:tcPr>
          <w:p>
            <w:r>
              <w:t>Réserves précises si écart ; signature quai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Écarts</w:t>
            </w:r>
          </w:p>
        </w:tc>
        <w:tc>
          <w:tcPr>
            <w:tcW w:type="dxa" w:w="2064"/>
            <w:vAlign w:val="center"/>
          </w:tcPr>
          <w:p>
            <w:r>
              <w:t>BRF ouvert sous 48h si retour ; RMA, lots/SN renseignés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Écarts</w:t>
            </w:r>
          </w:p>
        </w:tc>
        <w:tc>
          <w:tcPr>
            <w:tcW w:type="dxa" w:w="2064"/>
            <w:vAlign w:val="center"/>
          </w:tcPr>
          <w:p>
            <w:r>
              <w:t>Avoir lié à la facture d’origine ; motif documenté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Facture</w:t>
            </w:r>
          </w:p>
        </w:tc>
        <w:tc>
          <w:tcPr>
            <w:tcW w:type="dxa" w:w="2064"/>
            <w:vAlign w:val="center"/>
          </w:tcPr>
          <w:p>
            <w:r>
              <w:t>Mentions légales, TVA, RIB/IBAN connu ; devise OK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3-voies</w:t>
            </w:r>
          </w:p>
        </w:tc>
        <w:tc>
          <w:tcPr>
            <w:tcW w:type="dxa" w:w="2064"/>
            <w:vAlign w:val="center"/>
          </w:tcPr>
          <w:p>
            <w:r>
              <w:t>Match BC↔BR↔Facture dans tolérances (prix/qté/TVA)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Paiement</w:t>
            </w:r>
          </w:p>
        </w:tc>
        <w:tc>
          <w:tcPr>
            <w:tcW w:type="dxa" w:w="2064"/>
            <w:vAlign w:val="center"/>
          </w:tcPr>
          <w:p>
            <w:r>
              <w:t>OPF : visas requis ; IBAN validé ; échéance respectée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Archivage</w:t>
            </w:r>
          </w:p>
        </w:tc>
        <w:tc>
          <w:tcPr>
            <w:tcW w:type="dxa" w:w="2064"/>
            <w:vAlign w:val="center"/>
          </w:tcPr>
          <w:p>
            <w:r>
              <w:t>PDFs nommés standard + pièces jointes (BC, BR, BRF/AV, INV, OPF)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  <w:tr>
        <w:tc>
          <w:tcPr>
            <w:tcW w:type="dxa" w:w="2064"/>
            <w:vAlign w:val="center"/>
          </w:tcPr>
          <w:p>
            <w:r>
              <w:t>Audit</w:t>
            </w:r>
          </w:p>
        </w:tc>
        <w:tc>
          <w:tcPr>
            <w:tcW w:type="dxa" w:w="2064"/>
            <w:vAlign w:val="center"/>
          </w:tcPr>
          <w:p>
            <w:r>
              <w:t>Piste d’audit : traçabilité des validations &amp; dates</w:t>
            </w:r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  <w:tc>
          <w:tcPr>
            <w:tcW w:type="dxa" w:w="2064"/>
            <w:vAlign w:val="center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440"/>
        <w:gridCol w:w="3440"/>
        <w:gridCol w:w="3440"/>
      </w:tblGrid>
      <w:tr>
        <w:tc>
          <w:tcPr>
            <w:tcW w:type="dxa" w:w="3440"/>
          </w:tcPr>
          <w:p>
            <w:r>
              <w:t>Visa Achats</w:t>
              <w:br/>
              <w:t>________________________</w:t>
            </w:r>
          </w:p>
        </w:tc>
        <w:tc>
          <w:tcPr>
            <w:tcW w:type="dxa" w:w="3440"/>
          </w:tcPr>
          <w:p>
            <w:r>
              <w:t>Visa Réception / Logistique</w:t>
              <w:br/>
              <w:t>________________________</w:t>
            </w:r>
          </w:p>
        </w:tc>
        <w:tc>
          <w:tcPr>
            <w:tcW w:type="dxa" w:w="3440"/>
          </w:tcPr>
          <w:p>
            <w:r>
              <w:t>Visa Comptabilité / DAF</w:t>
              <w:br/>
              <w:t>________________________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680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Procure-to-Pay — Fiche Check-list V1.0 — Gabarit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