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4"/>
        </w:rPr>
        <w:t>RAPPORT DE MISSION RSE</w:t>
      </w:r>
    </w:p>
    <w:p>
      <w:pPr>
        <w:jc w:val="center"/>
      </w:pPr>
      <w:r>
        <w:rPr>
          <w:i/>
        </w:rPr>
        <w:t>Modèle Word A4 — titres, tableaux &amp; sections dépliantes (utilisez les niveaux de titres pour replier/déployer dans Word)</w:t>
      </w:r>
    </w:p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Client / Organisation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Périmètre (sites, BU, pays)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Période / Dates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N° de mission / Version</w:t>
              <w:br/>
              <w:t>..................................................................</w:t>
            </w:r>
          </w:p>
        </w:tc>
      </w:tr>
      <w:tr>
        <w:tc>
          <w:tcPr>
            <w:tcW w:type="dxa" w:w="2551"/>
          </w:tcPr>
          <w:p>
            <w:r>
              <w:rPr>
                <w:b/>
              </w:rPr>
              <w:t>Sponsor / Direction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Référent projet (nom / email)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Équipe &amp; contacts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Confidentialité / Diffusion</w:t>
              <w:br/>
              <w:t>..................................................................</w:t>
            </w:r>
          </w:p>
        </w:tc>
      </w:tr>
      <w:tr>
        <w:tc>
          <w:tcPr>
            <w:tcW w:type="dxa" w:w="2551"/>
          </w:tcPr>
          <w:p>
            <w:r>
              <w:rPr>
                <w:b/>
              </w:rPr>
              <w:t>Objectifs synthétiques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Livrables attendus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Référentiels (CSRD/ESRS/ISO…)</w:t>
              <w:br/>
              <w:t>..................................................................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Risques &amp; contraintes majeures</w:t>
              <w:br/>
              <w:t>..................................................................</w:t>
            </w:r>
          </w:p>
        </w:tc>
      </w:tr>
    </w:tbl>
    <w:p/>
    <w:p>
      <w:pPr>
        <w:pStyle w:val="Heading1"/>
      </w:pPr>
      <w:r>
        <w:rPr>
          <w:b/>
        </w:rPr>
        <w:t>1. Contexte &amp; objectifs de la mission</w:t>
      </w:r>
    </w:p>
    <w:p>
      <w:r>
        <w:t>Décrire le contexte (réglementaire, marché, attentes parties prenantes) et les objectifs opérationnels (diagnostic, matérialité, plan d’actions, reporting…).</w:t>
      </w:r>
    </w:p>
    <w:p>
      <w:pPr>
        <w:pStyle w:val="Heading1"/>
      </w:pPr>
      <w:r>
        <w:rPr>
          <w:b/>
        </w:rPr>
        <w:t>2. Périmètre &amp; méthodologie</w:t>
      </w:r>
    </w:p>
    <w:p>
      <w:pPr>
        <w:pStyle w:val="Heading2"/>
      </w:pPr>
      <w:r>
        <w:rPr>
          <w:b/>
        </w:rPr>
        <w:t>2.1 Périmètre (dépliant)</w:t>
      </w:r>
    </w:p>
    <w:p>
      <w:r>
        <w:t>✔ Unités / sites / filiales, ✔ Fonctions/processus inclus, ✔ Période couverte, ✔ Limites &amp; exclusions.</w:t>
      </w:r>
    </w:p>
    <w:p>
      <w:pPr>
        <w:pStyle w:val="Heading2"/>
      </w:pPr>
      <w:r>
        <w:rPr>
          <w:b/>
        </w:rPr>
        <w:t>2.2 Méthodologie (dépliant)</w:t>
      </w:r>
    </w:p>
    <w:p>
      <w:r>
        <w:t>• Cartographie des parties prenantes &amp; enjeux</w:t>
      </w:r>
    </w:p>
    <w:p>
      <w:r>
        <w:t>• Analyse de matérialité (double matérialité si applicable)</w:t>
      </w:r>
    </w:p>
    <w:p>
      <w:r>
        <w:t>• Collecte &amp; revue des données (KPI ESG)</w:t>
      </w:r>
    </w:p>
    <w:p>
      <w:r>
        <w:t>• Benchmark &amp; gap analysis vs référentiels (CSRD/ESRS/ISO/labels)</w:t>
      </w:r>
    </w:p>
    <w:p>
      <w:r>
        <w:t>• Feuille de route &amp; priorisation (impact/effort)</w:t>
      </w:r>
    </w:p>
    <w:p>
      <w:r>
        <w:t>• Reporting et recommandations</w:t>
      </w:r>
    </w:p>
    <w:p>
      <w:pPr>
        <w:pStyle w:val="Heading1"/>
      </w:pPr>
      <w:r>
        <w:rPr>
          <w:b/>
        </w:rPr>
        <w:t>3. Parties prenantes &amp; attentes</w:t>
      </w:r>
    </w:p>
    <w:p>
      <w:pPr>
        <w:pStyle w:val="Heading2"/>
      </w:pPr>
      <w:r>
        <w:rPr>
          <w:b/>
        </w:rPr>
        <w:t>3.1 Cartographie (dépliant)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Partie prenante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Attentes clés</w:t>
            </w:r>
          </w:p>
        </w:tc>
        <w:tc>
          <w:tcPr>
            <w:tcW w:type="dxa" w:w="1701"/>
          </w:tcPr>
          <w:p>
            <w:r>
              <w:rPr>
                <w:b/>
              </w:rPr>
              <w:t>Influence (H/M/B)</w:t>
            </w:r>
          </w:p>
        </w:tc>
        <w:tc>
          <w:tcPr>
            <w:tcW w:type="dxa" w:w="1701"/>
          </w:tcPr>
          <w:p>
            <w:r>
              <w:rPr>
                <w:b/>
              </w:rPr>
              <w:t>Priorité (1–5)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Canaux</w:t>
            </w:r>
          </w:p>
        </w:tc>
        <w:tc>
          <w:tcPr>
            <w:tcW w:type="dxa" w:w="1701"/>
          </w:tcPr>
          <w:p>
            <w:r>
              <w:rPr>
                <w:b/>
              </w:rPr>
              <w:t>Fréquence</w:t>
            </w:r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H / M / B</w:t>
            </w:r>
          </w:p>
        </w:tc>
        <w:tc>
          <w:tcPr>
            <w:tcW w:type="dxa" w:w="1701"/>
          </w:tcPr>
          <w:p>
            <w:r>
              <w:t>1 2 3 4 5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H / M / B</w:t>
            </w:r>
          </w:p>
        </w:tc>
        <w:tc>
          <w:tcPr>
            <w:tcW w:type="dxa" w:w="1701"/>
          </w:tcPr>
          <w:p>
            <w:r>
              <w:t>1 2 3 4 5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H / M / B</w:t>
            </w:r>
          </w:p>
        </w:tc>
        <w:tc>
          <w:tcPr>
            <w:tcW w:type="dxa" w:w="1701"/>
          </w:tcPr>
          <w:p>
            <w:r>
              <w:t>1 2 3 4 5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H / M / B</w:t>
            </w:r>
          </w:p>
        </w:tc>
        <w:tc>
          <w:tcPr>
            <w:tcW w:type="dxa" w:w="1701"/>
          </w:tcPr>
          <w:p>
            <w:r>
              <w:t>1 2 3 4 5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>
              <w:t>H / M / B</w:t>
            </w:r>
          </w:p>
        </w:tc>
        <w:tc>
          <w:tcPr>
            <w:tcW w:type="dxa" w:w="1701"/>
          </w:tcPr>
          <w:p>
            <w:r>
              <w:t>1 2 3 4 5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</w:tbl>
    <w:p>
      <w:pPr>
        <w:pStyle w:val="Heading1"/>
      </w:pPr>
      <w:r>
        <w:rPr>
          <w:b/>
        </w:rPr>
        <w:t>4. Analyse de matérialité</w:t>
      </w:r>
    </w:p>
    <w:p>
      <w:pPr>
        <w:pStyle w:val="Heading2"/>
      </w:pPr>
      <w:r>
        <w:rPr>
          <w:b/>
        </w:rPr>
        <w:t>4.1 Matrice enjeux (dépliant)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Enjeu</w:t>
            </w:r>
          </w:p>
        </w:tc>
        <w:tc>
          <w:tcPr>
            <w:tcW w:type="dxa" w:w="2041"/>
          </w:tcPr>
          <w:p>
            <w:r>
              <w:rPr>
                <w:b/>
              </w:rPr>
              <w:t>Importance interne (1–5)</w:t>
            </w:r>
          </w:p>
        </w:tc>
        <w:tc>
          <w:tcPr>
            <w:tcW w:type="dxa" w:w="2041"/>
          </w:tcPr>
          <w:p>
            <w:r>
              <w:rPr>
                <w:b/>
              </w:rPr>
              <w:t>Importance externe (1–5)</w:t>
            </w:r>
          </w:p>
        </w:tc>
        <w:tc>
          <w:tcPr>
            <w:tcW w:type="dxa" w:w="2041"/>
          </w:tcPr>
          <w:p>
            <w:r>
              <w:rPr>
                <w:b/>
              </w:rPr>
              <w:t>Risque/Opportunité</w:t>
            </w:r>
          </w:p>
        </w:tc>
        <w:tc>
          <w:tcPr>
            <w:tcW w:type="dxa" w:w="2041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</w:tbl>
    <w:p>
      <w:pPr>
        <w:pStyle w:val="Heading1"/>
      </w:pPr>
      <w:r>
        <w:rPr>
          <w:b/>
        </w:rPr>
        <w:t>5. Indicateurs &amp; résultats (KPI ESG)</w:t>
      </w:r>
    </w:p>
    <w:p>
      <w:pPr>
        <w:pStyle w:val="Heading2"/>
      </w:pPr>
      <w:r>
        <w:rPr>
          <w:b/>
        </w:rPr>
        <w:t>5.1 Environnement (E) — dépliant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701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</w:tcPr>
          <w:p>
            <w:r>
              <w:rPr>
                <w:b/>
              </w:rPr>
              <w:t>Année N-1</w:t>
            </w:r>
          </w:p>
        </w:tc>
        <w:tc>
          <w:tcPr>
            <w:tcW w:type="dxa" w:w="1701"/>
          </w:tcPr>
          <w:p>
            <w:r>
              <w:rPr>
                <w:b/>
              </w:rPr>
              <w:t>Année N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01"/>
          </w:tcPr>
          <w:p>
            <w:r>
              <w:t>Consommations d’énergie</w:t>
            </w:r>
          </w:p>
        </w:tc>
        <w:tc>
          <w:tcPr>
            <w:tcW w:type="dxa" w:w="1701"/>
          </w:tcPr>
          <w:p>
            <w:r>
              <w:t>kWh / an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Émissions GES (S1+S2)</w:t>
            </w:r>
          </w:p>
        </w:tc>
        <w:tc>
          <w:tcPr>
            <w:tcW w:type="dxa" w:w="1701"/>
          </w:tcPr>
          <w:p>
            <w:r>
              <w:t>tCO₂e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Émissions GES (S3)</w:t>
            </w:r>
          </w:p>
        </w:tc>
        <w:tc>
          <w:tcPr>
            <w:tcW w:type="dxa" w:w="1701"/>
          </w:tcPr>
          <w:p>
            <w:r>
              <w:t>tCO₂e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Eau prélevée / rejetée</w:t>
            </w:r>
          </w:p>
        </w:tc>
        <w:tc>
          <w:tcPr>
            <w:tcW w:type="dxa" w:w="1701"/>
          </w:tcPr>
          <w:p>
            <w:r>
              <w:t>m³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Déchets dangereux/non dangereux</w:t>
            </w:r>
          </w:p>
        </w:tc>
        <w:tc>
          <w:tcPr>
            <w:tcW w:type="dxa" w:w="1701"/>
          </w:tcPr>
          <w:p>
            <w:r>
              <w:t>t / an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Taux de valorisation</w:t>
            </w:r>
          </w:p>
        </w:tc>
        <w:tc>
          <w:tcPr>
            <w:tcW w:type="dxa" w:w="1701"/>
          </w:tcPr>
          <w:p>
            <w:r>
              <w:t>%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</w:tbl>
    <w:p>
      <w:pPr>
        <w:pStyle w:val="Heading2"/>
      </w:pPr>
      <w:r>
        <w:rPr>
          <w:b/>
        </w:rPr>
        <w:t>5.2 Social (S) — dépliant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701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N-1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01"/>
          </w:tcPr>
          <w:p>
            <w:r>
              <w:t>Fréquence des accidents (TF)</w:t>
            </w:r>
          </w:p>
        </w:tc>
        <w:tc>
          <w:tcPr>
            <w:tcW w:type="dxa" w:w="1701"/>
          </w:tcPr>
          <w:p>
            <w:r>
              <w:t>-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Gravité des accidents (TG)</w:t>
            </w:r>
          </w:p>
        </w:tc>
        <w:tc>
          <w:tcPr>
            <w:tcW w:type="dxa" w:w="1701"/>
          </w:tcPr>
          <w:p>
            <w:r>
              <w:t>-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Absentéisme</w:t>
            </w:r>
          </w:p>
        </w:tc>
        <w:tc>
          <w:tcPr>
            <w:tcW w:type="dxa" w:w="1701"/>
          </w:tcPr>
          <w:p>
            <w:r>
              <w:t>%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Formation / salarié</w:t>
            </w:r>
          </w:p>
        </w:tc>
        <w:tc>
          <w:tcPr>
            <w:tcW w:type="dxa" w:w="1701"/>
          </w:tcPr>
          <w:p>
            <w:r>
              <w:t>h/an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Parité femmes-hommes (cadres)</w:t>
            </w:r>
          </w:p>
        </w:tc>
        <w:tc>
          <w:tcPr>
            <w:tcW w:type="dxa" w:w="1701"/>
          </w:tcPr>
          <w:p>
            <w:r>
              <w:t>%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Engagement (eNPS ou équivalent)</w:t>
            </w:r>
          </w:p>
        </w:tc>
        <w:tc>
          <w:tcPr>
            <w:tcW w:type="dxa" w:w="1701"/>
          </w:tcPr>
          <w:p>
            <w:r>
              <w:t>score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</w:tbl>
    <w:p>
      <w:pPr>
        <w:pStyle w:val="Heading2"/>
      </w:pPr>
      <w:r>
        <w:rPr>
          <w:b/>
        </w:rPr>
        <w:t>5.3 Gouvernance (G) — dépliant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01"/>
        <w:gridCol w:w="1701"/>
        <w:gridCol w:w="1701"/>
        <w:gridCol w:w="1701"/>
        <w:gridCol w:w="1701"/>
        <w:gridCol w:w="1701"/>
      </w:tblGrid>
      <w:tr>
        <w:tc>
          <w:tcPr>
            <w:tcW w:type="dxa" w:w="1701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701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N-1</w:t>
            </w:r>
          </w:p>
        </w:tc>
        <w:tc>
          <w:tcPr>
            <w:tcW w:type="dxa" w:w="1701"/>
          </w:tcPr>
          <w:p>
            <w:r>
              <w:rPr>
                <w:b/>
              </w:rPr>
              <w:t>N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701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1701"/>
          </w:tcPr>
          <w:p>
            <w:r>
              <w:t>Code éthique diffusé / formé</w:t>
            </w:r>
          </w:p>
        </w:tc>
        <w:tc>
          <w:tcPr>
            <w:tcW w:type="dxa" w:w="1701"/>
          </w:tcPr>
          <w:p>
            <w:r>
              <w:t>% salariés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Alertes conformité traitées</w:t>
            </w:r>
          </w:p>
        </w:tc>
        <w:tc>
          <w:tcPr>
            <w:tcW w:type="dxa" w:w="1701"/>
          </w:tcPr>
          <w:p>
            <w:r>
              <w:t>n° / an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Achats responsables (couverture)</w:t>
            </w:r>
          </w:p>
        </w:tc>
        <w:tc>
          <w:tcPr>
            <w:tcW w:type="dxa" w:w="1701"/>
          </w:tcPr>
          <w:p>
            <w:r>
              <w:t>% fournisseurs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Indépendance CA / comité RSE</w:t>
            </w:r>
          </w:p>
        </w:tc>
        <w:tc>
          <w:tcPr>
            <w:tcW w:type="dxa" w:w="1701"/>
          </w:tcPr>
          <w:p>
            <w:r>
              <w:t>Oui/Non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  <w:tr>
        <w:tc>
          <w:tcPr>
            <w:tcW w:type="dxa" w:w="1701"/>
          </w:tcPr>
          <w:p>
            <w:r>
              <w:t>Données ESG auditées</w:t>
            </w:r>
          </w:p>
        </w:tc>
        <w:tc>
          <w:tcPr>
            <w:tcW w:type="dxa" w:w="1701"/>
          </w:tcPr>
          <w:p>
            <w:r>
              <w:t>Oui/Non</w:t>
            </w:r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  <w:tc>
          <w:tcPr>
            <w:tcW w:type="dxa" w:w="1701"/>
          </w:tcPr>
          <w:p>
            <w:r/>
          </w:p>
        </w:tc>
      </w:tr>
    </w:tbl>
    <w:p>
      <w:pPr>
        <w:pStyle w:val="Heading1"/>
      </w:pPr>
      <w:r>
        <w:rPr>
          <w:b/>
        </w:rPr>
        <w:t>6. Synthèse (feu tricolore) &amp; recommandations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551"/>
        <w:gridCol w:w="2551"/>
        <w:gridCol w:w="2551"/>
        <w:gridCol w:w="2551"/>
      </w:tblGrid>
      <w:tr>
        <w:tc>
          <w:tcPr>
            <w:tcW w:type="dxa" w:w="2551"/>
          </w:tcPr>
          <w:p>
            <w:r>
              <w:rPr>
                <w:b/>
              </w:rPr>
              <w:t>Domaine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Score / Tendance</w:t>
            </w:r>
          </w:p>
        </w:tc>
        <w:tc>
          <w:tcPr>
            <w:tcW w:type="dxa" w:w="2551"/>
          </w:tcPr>
          <w:p>
            <w:r>
              <w:rPr>
                <w:b/>
              </w:rPr>
              <w:t>Constats clés</w:t>
            </w:r>
          </w:p>
        </w:tc>
        <w:tc>
          <w:tcPr>
            <w:tcW w:type="dxa" w:w="2551"/>
          </w:tcPr>
          <w:p>
            <w:r>
              <w:rPr>
                <w:b/>
              </w:rPr>
              <w:t>Recommandations prioritaires</w:t>
            </w:r>
          </w:p>
        </w:tc>
      </w:tr>
      <w:tr>
        <w:tc>
          <w:tcPr>
            <w:tcW w:type="dxa" w:w="2551"/>
          </w:tcPr>
          <w:p>
            <w:r>
              <w:t>Environnement (E)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Social (S)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Gouvernance (G)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Reporting &amp; Data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Conformité (CSRD/ESRS)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  <w:tr>
        <w:tc>
          <w:tcPr>
            <w:tcW w:type="dxa" w:w="2551"/>
          </w:tcPr>
          <w:p>
            <w:r>
              <w:t>Chaîne d’approvisionnement</w:t>
            </w:r>
          </w:p>
        </w:tc>
        <w:tc>
          <w:tcPr>
            <w:tcW w:type="dxa" w:w="2551"/>
          </w:tcPr>
          <w:p>
            <w:r>
              <w:t>🟢 / 🟡 / 🔴</w:t>
            </w:r>
          </w:p>
        </w:tc>
        <w:tc>
          <w:tcPr>
            <w:tcW w:type="dxa" w:w="2551"/>
          </w:tcPr>
          <w:p>
            <w:r/>
          </w:p>
        </w:tc>
        <w:tc>
          <w:tcPr>
            <w:tcW w:type="dxa" w:w="2551"/>
          </w:tcPr>
          <w:p>
            <w:r/>
          </w:p>
        </w:tc>
      </w:tr>
    </w:tbl>
    <w:p>
      <w:pPr>
        <w:pStyle w:val="Heading1"/>
      </w:pPr>
      <w:r>
        <w:rPr>
          <w:b/>
        </w:rPr>
        <w:t>7. Conformité, risques &amp; opportunités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Exigence / Référentiel</w:t>
            </w:r>
          </w:p>
        </w:tc>
        <w:tc>
          <w:tcPr>
            <w:tcW w:type="dxa" w:w="2041"/>
          </w:tcPr>
          <w:p>
            <w:r>
              <w:rPr>
                <w:b/>
              </w:rPr>
              <w:t>Conformité (O/N/Partielle)</w:t>
            </w:r>
          </w:p>
        </w:tc>
        <w:tc>
          <w:tcPr>
            <w:tcW w:type="dxa" w:w="2041"/>
          </w:tcPr>
          <w:p>
            <w:r>
              <w:rPr>
                <w:b/>
              </w:rPr>
              <w:t>Preuves / écarts</w:t>
            </w:r>
          </w:p>
        </w:tc>
        <w:tc>
          <w:tcPr>
            <w:tcW w:type="dxa" w:w="2041"/>
          </w:tcPr>
          <w:p>
            <w:r>
              <w:rPr>
                <w:b/>
              </w:rPr>
              <w:t>Risque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Opportunité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O / N / P</w:t>
            </w:r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</w:tbl>
    <w:p>
      <w:pPr>
        <w:pStyle w:val="Heading1"/>
      </w:pPr>
      <w:r>
        <w:rPr>
          <w:b/>
        </w:rPr>
        <w:t>8. Plan d’actions RSE priorisé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>
        <w:tc>
          <w:tcPr>
            <w:tcW w:type="dxa" w:w="1134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134"/>
          </w:tcPr>
          <w:p>
            <w:r>
              <w:rPr>
                <w:b/>
              </w:rPr>
              <w:t>Thème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Impact (H/M/B)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Effort (H/M/B)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Pilote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Budget (€)</w:t>
            </w:r>
          </w:p>
        </w:tc>
        <w:tc>
          <w:tcPr>
            <w:tcW w:type="dxa" w:w="1134"/>
          </w:tcPr>
          <w:p>
            <w:r>
              <w:rPr>
                <w:b/>
              </w:rPr>
              <w:t>KPI cible</w:t>
            </w:r>
          </w:p>
        </w:tc>
        <w:tc>
          <w:tcPr>
            <w:tcW w:type="dxa" w:w="1134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  <w:tr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H/M/B</w:t>
            </w:r>
          </w:p>
        </w:tc>
        <w:tc>
          <w:tcPr>
            <w:tcW w:type="dxa" w:w="1134"/>
          </w:tcPr>
          <w:p>
            <w:r>
              <w:t>JJ/MM/AAAA</w:t>
            </w:r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/>
          </w:p>
        </w:tc>
        <w:tc>
          <w:tcPr>
            <w:tcW w:type="dxa" w:w="1134"/>
          </w:tcPr>
          <w:p>
            <w:r>
              <w:t>☐ À faire  ☐ En cours  ☐ Fait</w:t>
            </w:r>
          </w:p>
        </w:tc>
      </w:tr>
    </w:tbl>
    <w:p>
      <w:pPr>
        <w:pStyle w:val="Heading1"/>
      </w:pPr>
      <w:r>
        <w:rPr>
          <w:b/>
        </w:rPr>
        <w:t>9. Feuille de route (trimestrielle)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2041"/>
          </w:tcPr>
          <w:p>
            <w:r>
              <w:rPr>
                <w:b/>
              </w:rPr>
              <w:t>T1</w:t>
            </w:r>
          </w:p>
        </w:tc>
        <w:tc>
          <w:tcPr>
            <w:tcW w:type="dxa" w:w="2041"/>
          </w:tcPr>
          <w:p>
            <w:r>
              <w:rPr>
                <w:b/>
              </w:rPr>
              <w:t>T2</w:t>
            </w:r>
          </w:p>
        </w:tc>
        <w:tc>
          <w:tcPr>
            <w:tcW w:type="dxa" w:w="2041"/>
          </w:tcPr>
          <w:p>
            <w:r>
              <w:rPr>
                <w:b/>
              </w:rPr>
              <w:t>T3</w:t>
            </w:r>
          </w:p>
        </w:tc>
        <w:tc>
          <w:tcPr>
            <w:tcW w:type="dxa" w:w="2041"/>
          </w:tcPr>
          <w:p>
            <w:r>
              <w:rPr>
                <w:b/>
              </w:rPr>
              <w:t>T4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  <w:tc>
          <w:tcPr>
            <w:tcW w:type="dxa" w:w="2041"/>
          </w:tcPr>
          <w:p>
            <w:r>
              <w:t>☐</w:t>
            </w:r>
          </w:p>
        </w:tc>
      </w:tr>
    </w:tbl>
    <w:p>
      <w:pPr>
        <w:pStyle w:val="Heading1"/>
      </w:pPr>
      <w:r>
        <w:rPr>
          <w:b/>
        </w:rPr>
        <w:t>10. Alignement ODD (Objectifs de Développement Durable)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041"/>
        <w:gridCol w:w="2041"/>
        <w:gridCol w:w="2041"/>
        <w:gridCol w:w="2041"/>
        <w:gridCol w:w="2041"/>
      </w:tblGrid>
      <w:tr>
        <w:tc>
          <w:tcPr>
            <w:tcW w:type="dxa" w:w="2041"/>
          </w:tcPr>
          <w:p>
            <w:r>
              <w:rPr>
                <w:b/>
              </w:rPr>
              <w:t>Action / KPI</w:t>
            </w:r>
          </w:p>
        </w:tc>
        <w:tc>
          <w:tcPr>
            <w:tcW w:type="dxa" w:w="2041"/>
          </w:tcPr>
          <w:p>
            <w:r>
              <w:rPr>
                <w:b/>
              </w:rPr>
              <w:t>ODD ciblé</w:t>
            </w:r>
          </w:p>
        </w:tc>
        <w:tc>
          <w:tcPr>
            <w:tcW w:type="dxa" w:w="2041"/>
          </w:tcPr>
          <w:p>
            <w:r>
              <w:rPr>
                <w:b/>
              </w:rPr>
              <w:t>Cible ODD</w:t>
            </w:r>
          </w:p>
        </w:tc>
        <w:tc>
          <w:tcPr>
            <w:tcW w:type="dxa" w:w="2041"/>
          </w:tcPr>
          <w:p>
            <w:r>
              <w:rPr>
                <w:b/>
              </w:rPr>
              <w:t>Preuve</w:t>
            </w:r>
          </w:p>
        </w:tc>
        <w:tc>
          <w:tcPr>
            <w:tcW w:type="dxa" w:w="2041"/>
          </w:tcPr>
          <w:p>
            <w:r>
              <w:rPr>
                <w:b/>
              </w:rPr>
              <w:t>Commentaires</w:t>
            </w:r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  <w:tr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  <w:tc>
          <w:tcPr>
            <w:tcW w:type="dxa" w:w="2041"/>
          </w:tcPr>
          <w:p>
            <w:r/>
          </w:p>
        </w:tc>
      </w:tr>
    </w:tbl>
    <w:p>
      <w:pPr>
        <w:pStyle w:val="Heading1"/>
      </w:pPr>
      <w:r>
        <w:rPr>
          <w:b/>
        </w:rPr>
        <w:t>11. Annexes</w:t>
      </w:r>
    </w:p>
    <w:p>
      <w:r>
        <w:t>Liste des documents probants, exports de données, méthodologies de calcul, hypothèses, limites, glossaire.</w:t>
      </w:r>
    </w:p>
    <w:p/>
    <w:p>
      <w:r>
        <w:rPr>
          <w:i/>
        </w:rPr>
        <w:t>Note : adaptez les indicateurs, référentiels (CSRD/ESRS) et seuils à votre secteur et à votre périmètre réel.</w:t>
      </w:r>
    </w:p>
    <w:sectPr w:rsidR="00FC693F" w:rsidRPr="0006063C" w:rsidSect="00034616">
      <w:pgSz w:w="11906" w:h="16838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