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PROJET RSE — Modèle à remplir : Inventaire &amp; Calcul des charges</w:t>
      </w:r>
    </w:p>
    <w:p>
      <w:r>
        <w:rPr>
          <w:sz w:val="22"/>
        </w:rPr>
        <w:t>Ce modèle vous aide à inventorier les actions RSE, estimer les charges (OPEX/CAPEX) et calculer un ROI simple.</w:t>
      </w:r>
    </w:p>
    <w:p>
      <w:r>
        <w:rPr>
          <w:b/>
        </w:rPr>
        <w:t>1) FICHE PROJET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Entreprise / BU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Sponsor / Pilote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Intitulé du projet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Chef de projet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Périmètre</w:t>
            </w:r>
          </w:p>
        </w:tc>
        <w:tc>
          <w:tcPr>
            <w:tcW w:type="dxa" w:w="2160"/>
          </w:tcPr>
          <w:p>
            <w:r/>
          </w:p>
        </w:tc>
        <w:tc>
          <w:tcPr>
            <w:tcW w:type="dxa" w:w="2160"/>
          </w:tcPr>
          <w:p>
            <w:r>
              <w:t>Calendrier (de/à)</w:t>
            </w:r>
          </w:p>
        </w:tc>
        <w:tc>
          <w:tcPr>
            <w:tcW w:type="dxa" w:w="2160"/>
          </w:tcPr>
          <w:p>
            <w:r/>
          </w:p>
        </w:tc>
      </w:tr>
      <w:tr>
        <w:tc>
          <w:tcPr>
            <w:tcW w:type="dxa" w:w="2160"/>
          </w:tcPr>
          <w:p>
            <w:r>
              <w:t>Objectifs mesurables (KPI)</w:t>
            </w:r>
          </w:p>
        </w:tc>
        <w:tc>
          <w:tcPr>
            <w:tcW w:type="dxa" w:w="6480"/>
            <w:gridSpan w:val="3"/>
          </w:tcPr>
          <w:p>
            <w:r/>
          </w:p>
        </w:tc>
      </w:tr>
      <w:tr>
        <w:tc>
          <w:tcPr>
            <w:tcW w:type="dxa" w:w="2160"/>
          </w:tcPr>
          <w:p>
            <w:r>
              <w:t>Parties prenantes impliquées</w:t>
            </w:r>
          </w:p>
        </w:tc>
        <w:tc>
          <w:tcPr>
            <w:tcW w:type="dxa" w:w="6480"/>
            <w:gridSpan w:val="3"/>
          </w:tcPr>
          <w:p>
            <w:r/>
          </w:p>
        </w:tc>
      </w:tr>
      <w:tr>
        <w:tc>
          <w:tcPr>
            <w:tcW w:type="dxa" w:w="2160"/>
          </w:tcPr>
          <w:p>
            <w:r>
              <w:t>Référentiels / exigences (ISO, règlement, client)</w:t>
            </w:r>
          </w:p>
        </w:tc>
        <w:tc>
          <w:tcPr>
            <w:tcW w:type="dxa" w:w="6480"/>
            <w:gridSpan w:val="3"/>
          </w:tcPr>
          <w:p>
            <w:r/>
          </w:p>
        </w:tc>
      </w:tr>
    </w:tbl>
    <w:p>
      <w:r>
        <w:rPr>
          <w:b/>
        </w:rPr>
        <w:t>2) INVENTAIRE DES ENJEUX / OBLIGATIONS / ACTIONS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c>
          <w:tcPr>
            <w:tcW w:type="dxa" w:w="1080"/>
          </w:tcPr>
          <w:p>
            <w:r>
              <w:t>#</w:t>
            </w:r>
          </w:p>
        </w:tc>
        <w:tc>
          <w:tcPr>
            <w:tcW w:type="dxa" w:w="1080"/>
          </w:tcPr>
          <w:p>
            <w:r>
              <w:t>Enjeu / obligation</w:t>
            </w:r>
          </w:p>
        </w:tc>
        <w:tc>
          <w:tcPr>
            <w:tcW w:type="dxa" w:w="1080"/>
          </w:tcPr>
          <w:p>
            <w:r>
              <w:t>Action prévue</w:t>
            </w:r>
          </w:p>
        </w:tc>
        <w:tc>
          <w:tcPr>
            <w:tcW w:type="dxa" w:w="1080"/>
          </w:tcPr>
          <w:p>
            <w:r>
              <w:t>Catégorie</w:t>
            </w:r>
          </w:p>
        </w:tc>
        <w:tc>
          <w:tcPr>
            <w:tcW w:type="dxa" w:w="1080"/>
          </w:tcPr>
          <w:p>
            <w:r>
              <w:t>Référence / Exigence</w:t>
            </w:r>
          </w:p>
        </w:tc>
        <w:tc>
          <w:tcPr>
            <w:tcW w:type="dxa" w:w="1080"/>
          </w:tcPr>
          <w:p>
            <w:r>
              <w:t>Owner</w:t>
            </w:r>
          </w:p>
        </w:tc>
        <w:tc>
          <w:tcPr>
            <w:tcW w:type="dxa" w:w="1080"/>
          </w:tcPr>
          <w:p>
            <w:r>
              <w:t>Échéance</w:t>
            </w:r>
          </w:p>
        </w:tc>
        <w:tc>
          <w:tcPr>
            <w:tcW w:type="dxa" w:w="1080"/>
          </w:tcPr>
          <w:p>
            <w:r>
              <w:t>Statut</w:t>
            </w:r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</w:tbl>
    <w:p>
      <w:r>
        <w:rPr>
          <w:b/>
        </w:rPr>
        <w:t>3) CHARGES RSE — OPEX (dépenses de fonctionnement)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t>#</w:t>
            </w:r>
          </w:p>
        </w:tc>
        <w:tc>
          <w:tcPr>
            <w:tcW w:type="dxa" w:w="1728"/>
          </w:tcPr>
          <w:p>
            <w:r>
              <w:t>Poste OPEX</w:t>
            </w:r>
          </w:p>
        </w:tc>
        <w:tc>
          <w:tcPr>
            <w:tcW w:type="dxa" w:w="1728"/>
          </w:tcPr>
          <w:p>
            <w:r>
              <w:t>Quantité</w:t>
            </w:r>
          </w:p>
        </w:tc>
        <w:tc>
          <w:tcPr>
            <w:tcW w:type="dxa" w:w="1728"/>
          </w:tcPr>
          <w:p>
            <w:r>
              <w:t>Coût unitaire (MAD)</w:t>
            </w:r>
          </w:p>
        </w:tc>
        <w:tc>
          <w:tcPr>
            <w:tcW w:type="dxa" w:w="1728"/>
          </w:tcPr>
          <w:p>
            <w:r>
              <w:t>Sous-total (MAD) = Quantité × Coût</w:t>
            </w:r>
          </w:p>
        </w:tc>
      </w:tr>
      <w:tr>
        <w:tc>
          <w:tcPr>
            <w:tcW w:type="dxa" w:w="1728"/>
          </w:tcPr>
          <w:p>
            <w:r>
              <w:t>1</w:t>
            </w:r>
          </w:p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>
            <w:fldSimple w:instr="=PRODUCT(C2,D2) \# &quot;#,##0.00&quot;">
              <w:r>
                <w:t>—</w:t>
              </w:r>
            </w:fldSimple>
          </w:p>
        </w:tc>
      </w:tr>
      <w:tr>
        <w:tc>
          <w:tcPr>
            <w:tcW w:type="dxa" w:w="1728"/>
          </w:tcPr>
          <w:p>
            <w:r>
              <w:t>2</w:t>
            </w:r>
          </w:p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>
            <w:fldSimple w:instr="=PRODUCT(C3,D3) \# &quot;#,##0.00&quot;">
              <w:r>
                <w:t>—</w:t>
              </w:r>
            </w:fldSimple>
          </w:p>
        </w:tc>
      </w:tr>
      <w:tr>
        <w:tc>
          <w:tcPr>
            <w:tcW w:type="dxa" w:w="1728"/>
          </w:tcPr>
          <w:p>
            <w:r>
              <w:t>3</w:t>
            </w:r>
          </w:p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>
            <w:fldSimple w:instr="=PRODUCT(C4,D4) \# &quot;#,##0.00&quot;">
              <w:r>
                <w:t>—</w:t>
              </w:r>
            </w:fldSimple>
          </w:p>
        </w:tc>
      </w:tr>
      <w:tr>
        <w:tc>
          <w:tcPr>
            <w:tcW w:type="dxa" w:w="1728"/>
          </w:tcPr>
          <w:p>
            <w:r>
              <w:t>4</w:t>
            </w:r>
          </w:p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>
            <w:fldSimple w:instr="=PRODUCT(C5,D5) \# &quot;#,##0.00&quot;">
              <w:r>
                <w:t>—</w:t>
              </w:r>
            </w:fldSimple>
          </w:p>
        </w:tc>
      </w:tr>
      <w:tr>
        <w:tc>
          <w:tcPr>
            <w:tcW w:type="dxa" w:w="1728"/>
          </w:tcPr>
          <w:p>
            <w:r>
              <w:t>5</w:t>
            </w:r>
          </w:p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>
            <w:fldSimple w:instr="=PRODUCT(C6,D6) \# &quot;#,##0.00&quot;">
              <w:r>
                <w:t>—</w:t>
              </w:r>
            </w:fldSimple>
          </w:p>
        </w:tc>
      </w:tr>
      <w:tr>
        <w:tc>
          <w:tcPr>
            <w:tcW w:type="dxa" w:w="1728"/>
          </w:tcPr>
          <w:p>
            <w:r>
              <w:t>6</w:t>
            </w:r>
          </w:p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/>
        </w:tc>
        <w:tc>
          <w:tcPr>
            <w:tcW w:type="dxa" w:w="1728"/>
          </w:tcPr>
          <w:p>
            <w:fldSimple w:instr="=PRODUCT(C7,D7) \# &quot;#,##0.00&quot;">
              <w:r>
                <w:t>—</w:t>
              </w:r>
            </w:fldSimple>
          </w:p>
        </w:tc>
      </w:tr>
      <w:tr>
        <w:tc>
          <w:tcPr>
            <w:tcW w:type="dxa" w:w="6912"/>
            <w:gridSpan w:val="4"/>
          </w:tcPr>
          <w:p>
            <w:r>
              <w:t>TOTAL OPEX (MAD)</w:t>
            </w:r>
          </w:p>
        </w:tc>
        <w:tc>
          <w:tcPr>
            <w:tcW w:type="dxa" w:w="1728"/>
          </w:tcPr>
          <w:p>
            <w:fldSimple w:instr="=SUM(ABOVE) \# &quot;#,##0.00&quot;">
              <w:r>
                <w:t>—</w:t>
              </w:r>
            </w:fldSimple>
          </w:p>
        </w:tc>
      </w:tr>
    </w:tbl>
    <w:p>
      <w:r>
        <w:t>Astuce : ajoutez des lignes si nécessaire et copiez la cellule de formule pour propager le calcul.</w:t>
      </w:r>
    </w:p>
    <w:p>
      <w:r>
        <w:rPr>
          <w:b/>
        </w:rPr>
        <w:t>4) CHARGES RSE — CAPEX (investissements)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#</w:t>
            </w:r>
          </w:p>
        </w:tc>
        <w:tc>
          <w:tcPr>
            <w:tcW w:type="dxa" w:w="1440"/>
          </w:tcPr>
          <w:p>
            <w:r>
              <w:t>Poste CAPEX (capteurs, relamping, PV…)</w:t>
            </w:r>
          </w:p>
        </w:tc>
        <w:tc>
          <w:tcPr>
            <w:tcW w:type="dxa" w:w="1440"/>
          </w:tcPr>
          <w:p>
            <w:r>
              <w:t>Quantité</w:t>
            </w:r>
          </w:p>
        </w:tc>
        <w:tc>
          <w:tcPr>
            <w:tcW w:type="dxa" w:w="1440"/>
          </w:tcPr>
          <w:p>
            <w:r>
              <w:t>Dépense (MAD)</w:t>
            </w:r>
          </w:p>
        </w:tc>
        <w:tc>
          <w:tcPr>
            <w:tcW w:type="dxa" w:w="1440"/>
          </w:tcPr>
          <w:p>
            <w:r>
              <w:t>Amort. (années)</w:t>
            </w:r>
          </w:p>
        </w:tc>
        <w:tc>
          <w:tcPr>
            <w:tcW w:type="dxa" w:w="1440"/>
          </w:tcPr>
          <w:p>
            <w:r>
              <w:t>Charge annuelle (MAD) = Dépense / Amort.</w:t>
            </w:r>
          </w:p>
        </w:tc>
      </w:tr>
      <w:tr>
        <w:tc>
          <w:tcPr>
            <w:tcW w:type="dxa" w:w="1440"/>
          </w:tcPr>
          <w:p>
            <w:r>
              <w:t>1</w:t>
            </w:r>
          </w:p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>
            <w:fldSimple w:instr="=D2/E2 \# &quot;#,##0.00&quot;">
              <w:r>
                <w:t>—</w:t>
              </w:r>
            </w:fldSimple>
          </w:p>
        </w:tc>
      </w:tr>
      <w:tr>
        <w:tc>
          <w:tcPr>
            <w:tcW w:type="dxa" w:w="1440"/>
          </w:tcPr>
          <w:p>
            <w:r>
              <w:t>2</w:t>
            </w:r>
          </w:p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>
            <w:fldSimple w:instr="=D3/E3 \# &quot;#,##0.00&quot;">
              <w:r>
                <w:t>—</w:t>
              </w:r>
            </w:fldSimple>
          </w:p>
        </w:tc>
      </w:tr>
      <w:tr>
        <w:tc>
          <w:tcPr>
            <w:tcW w:type="dxa" w:w="1440"/>
          </w:tcPr>
          <w:p>
            <w:r>
              <w:t>3</w:t>
            </w:r>
          </w:p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>
            <w:fldSimple w:instr="=D4/E4 \# &quot;#,##0.00&quot;">
              <w:r>
                <w:t>—</w:t>
              </w:r>
            </w:fldSimple>
          </w:p>
        </w:tc>
      </w:tr>
      <w:tr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>
            <w:fldSimple w:instr="=D5/E5 \# &quot;#,##0.00&quot;">
              <w:r>
                <w:t>—</w:t>
              </w:r>
            </w:fldSimple>
          </w:p>
        </w:tc>
      </w:tr>
      <w:tr>
        <w:tc>
          <w:tcPr>
            <w:tcW w:type="dxa" w:w="1440"/>
          </w:tcPr>
          <w:p>
            <w:r>
              <w:t>5</w:t>
            </w:r>
          </w:p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>
            <w:fldSimple w:instr="=D6/E6 \# &quot;#,##0.00&quot;">
              <w:r>
                <w:t>—</w:t>
              </w:r>
            </w:fldSimple>
          </w:p>
        </w:tc>
      </w:tr>
      <w:tr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/>
        </w:tc>
        <w:tc>
          <w:tcPr>
            <w:tcW w:type="dxa" w:w="1440"/>
          </w:tcPr>
          <w:p>
            <w:fldSimple w:instr="=D7/E7 \# &quot;#,##0.00&quot;">
              <w:r>
                <w:t>—</w:t>
              </w:r>
            </w:fldSimple>
          </w:p>
        </w:tc>
      </w:tr>
      <w:tr>
        <w:tc>
          <w:tcPr>
            <w:tcW w:type="dxa" w:w="4320"/>
            <w:gridSpan w:val="3"/>
          </w:tcPr>
          <w:p>
            <w:r>
              <w:t>TOTAL DÉPENSES CAPEX (MAD)</w:t>
            </w:r>
          </w:p>
        </w:tc>
        <w:tc>
          <w:tcPr>
            <w:tcW w:type="dxa" w:w="1440"/>
          </w:tcPr>
          <w:p>
            <w:fldSimple w:instr="=SUM(ABOVE) \# &quot;#,##0.00&quot;">
              <w:r>
                <w:t>—</w:t>
              </w:r>
            </w:fldSimple>
          </w:p>
        </w:tc>
        <w:tc>
          <w:tcPr>
            <w:tcW w:type="dxa" w:w="1440"/>
          </w:tcPr>
          <w:p>
            <w:r>
              <w:t>TOTAL CHARGE ANNUELLE (MAD)</w:t>
            </w:r>
          </w:p>
        </w:tc>
        <w:tc>
          <w:tcPr>
            <w:tcW w:type="dxa" w:w="1440"/>
          </w:tcPr>
          <w:p>
            <w:fldSimple w:instr="=SUM(ABOVE) \# &quot;#,##0.00&quot;">
              <w:r>
                <w:t>—</w:t>
              </w:r>
            </w:fldSimple>
          </w:p>
        </w:tc>
      </w:tr>
    </w:tbl>
    <w:p>
      <w:r>
        <w:rPr>
          <w:b/>
        </w:rPr>
        <w:t>5) GAINS / COÛTS ÉVITÉS (annuels)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Type</w:t>
            </w:r>
          </w:p>
        </w:tc>
        <w:tc>
          <w:tcPr>
            <w:tcW w:type="dxa" w:w="2880"/>
          </w:tcPr>
          <w:p>
            <w:r>
              <w:t>Description</w:t>
            </w:r>
          </w:p>
        </w:tc>
        <w:tc>
          <w:tcPr>
            <w:tcW w:type="dxa" w:w="2880"/>
          </w:tcPr>
          <w:p>
            <w:r>
              <w:t>Montant (MAD/an)</w:t>
            </w:r>
          </w:p>
        </w:tc>
      </w:tr>
      <w:tr>
        <w:tc>
          <w:tcPr>
            <w:tcW w:type="dxa" w:w="2880"/>
          </w:tcPr>
          <w:p>
            <w:r>
              <w:t>Gains récurrents (énergie, maintenance)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Coûts évités (pénalités, rebut, accidents)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2880"/>
          </w:tcPr>
          <w:p>
            <w:r>
              <w:t>Gains commerciaux (churn, NPS, premium)</w:t>
            </w:r>
          </w:p>
        </w:tc>
        <w:tc>
          <w:tcPr>
            <w:tcW w:type="dxa" w:w="2880"/>
          </w:tcPr>
          <w:p>
            <w:r/>
          </w:p>
        </w:tc>
        <w:tc>
          <w:tcPr>
            <w:tcW w:type="dxa" w:w="2880"/>
          </w:tcPr>
          <w:p>
            <w:r/>
          </w:p>
        </w:tc>
      </w:tr>
      <w:tr>
        <w:tc>
          <w:tcPr>
            <w:tcW w:type="dxa" w:w="5760"/>
            <w:gridSpan w:val="2"/>
          </w:tcPr>
          <w:p>
            <w:r>
              <w:t>TOTAL GAINS ANNUELS (MAD)</w:t>
            </w:r>
          </w:p>
        </w:tc>
        <w:tc>
          <w:tcPr>
            <w:tcW w:type="dxa" w:w="2880"/>
          </w:tcPr>
          <w:p>
            <w:fldSimple w:instr="=SUM(ABOVE) \# &quot;#,##0.00&quot;">
              <w:r>
                <w:t>—</w:t>
              </w:r>
            </w:fldSimple>
          </w:p>
        </w:tc>
      </w:tr>
    </w:tbl>
    <w:p>
      <w:r>
        <w:rPr>
          <w:b/>
        </w:rPr>
        <w:t>6) CALCULATEUR ROI (à partir des totaux ci-dessus)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Total COÛTS ANNUELS (OPEX + charge CAPEX)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Total GAINS ANNUELS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ROI (%) = (Gains - Coûts) / Coûts</w:t>
            </w:r>
          </w:p>
        </w:tc>
        <w:tc>
          <w:tcPr>
            <w:tcW w:type="dxa" w:w="4320"/>
          </w:tcPr>
          <w:p>
            <w:fldSimple w:instr="=(B2-B1)/B1 \# &quot;0.00 %&quot;">
              <w:r>
                <w:t>—</w:t>
              </w:r>
            </w:fldSimple>
          </w:p>
        </w:tc>
      </w:tr>
    </w:tbl>
    <w:p>
      <w:r>
        <w:t>Mode d’emploi : entrez les totaux dans les 2 cellules ci-dessus, puis clic droit &gt; Mettre à jour le champ (ou F9) sur la cellule ROI.</w:t>
      </w:r>
    </w:p>
    <w:p>
      <w:r>
        <w:rPr>
          <w:b/>
        </w:rPr>
        <w:t>7) HYPOTHÈSES, RISQUES, DÉCISIONS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Hypothèses clés (prix énergie, volumes, taux de change…)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Risques &amp; parades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Décisions &amp; arbitrages (CODIR/Comité RSE)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Prochaines étapes (jalons M3 / M6 / M12)</w:t>
            </w:r>
          </w:p>
        </w:tc>
        <w:tc>
          <w:tcPr>
            <w:tcW w:type="dxa" w:w="4320"/>
          </w:tcPr>
          <w:p>
            <w:r/>
          </w:p>
        </w:tc>
      </w:tr>
    </w:tbl>
    <w:p>
      <w:r>
        <w:rPr>
          <w:i/>
        </w:rPr>
        <w:t>Pied de page suggéré : lecoursgratuit.com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