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0C997"/>
          <w:sz w:val="44"/>
        </w:rPr>
        <w:t>Procédure Finance — Procure-to-Pay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0CB583"/>
          </w:tcPr>
          <w:p>
            <w:r>
              <w:rPr>
                <w:b/>
                <w:color w:val="FFFFFF"/>
                <w:sz w:val="20"/>
              </w:rPr>
              <w:t xml:space="preserve">Processus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CB583"/>
          </w:tcPr>
          <w:p>
            <w:r>
              <w:rPr>
                <w:b/>
                <w:color w:val="FFFFFF"/>
                <w:sz w:val="20"/>
              </w:rPr>
              <w:t xml:space="preserve">Code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CB583"/>
          </w:tcPr>
          <w:p>
            <w:r>
              <w:rPr>
                <w:b/>
                <w:color w:val="FFFFFF"/>
                <w:sz w:val="20"/>
              </w:rPr>
              <w:t xml:space="preserve">Version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  <w:tc>
          <w:tcPr>
            <w:tcW w:type="dxa" w:w="2635"/>
            <w:shd w:val="clear" w:color="auto" w:fill="0CB583"/>
          </w:tcPr>
          <w:p>
            <w:r>
              <w:rPr>
                <w:b/>
                <w:color w:val="FFFFFF"/>
                <w:sz w:val="20"/>
              </w:rPr>
              <w:t xml:space="preserve">Date : </w:t>
            </w:r>
            <w:r>
              <w:rPr>
                <w:b/>
                <w:color w:val="FFFFFF"/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Rédacteur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Valideur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Approbateur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Diffusion : </w:t>
            </w:r>
            <w:r>
              <w:rPr>
                <w:sz w:val="20"/>
              </w:rPr>
              <w:t>[À compléter]</w:t>
            </w:r>
          </w:p>
        </w:tc>
      </w:tr>
      <w:tr>
        <w:tc>
          <w:tcPr>
            <w:tcW w:type="dxa" w:w="2635"/>
          </w:tcPr>
          <w:p>
            <w:r>
              <w:rPr>
                <w:b/>
                <w:sz w:val="20"/>
              </w:rPr>
              <w:t xml:space="preserve">Confidentialité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Périmètre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Révision prévue : </w:t>
            </w:r>
            <w:r>
              <w:rPr>
                <w:sz w:val="20"/>
              </w:rPr>
              <w:t>[À compléter]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 xml:space="preserve">Référence liée : </w:t>
            </w:r>
            <w:r>
              <w:rPr>
                <w:sz w:val="20"/>
              </w:rPr>
              <w:t>[À compléter]</w:t>
            </w:r>
          </w:p>
        </w:tc>
      </w:tr>
    </w:tbl>
    <w:p/>
    <w:p>
      <w:r>
        <w:rPr>
          <w:b/>
          <w:sz w:val="20"/>
        </w:rPr>
        <w:t xml:space="preserve">QR — Référence rapide : </w:t>
      </w:r>
    </w:p>
    <w:p>
      <w:pPr>
        <w:jc w:val="left"/>
      </w:pPr>
      <w:fldSimple w:instr="DISPLAYBARCODE &quot;https://lecoursgratuit.com/procedure?ref=FINANCE-P2P&quot; QR \s 48 \q 3 \t">
        <w:r>
          <w:t> </w:t>
        </w:r>
      </w:fldSimple>
    </w:p>
    <w:p>
      <w:r>
        <w:rPr>
          <w:sz w:val="18"/>
        </w:rPr>
        <w:t>Lien cible : https://lecoursgratuit.com/procedure?ref=FINANCE-P2P</w:t>
      </w:r>
    </w:p>
    <w:p>
      <w:pPr>
        <w:jc w:val="left"/>
      </w:pPr>
      <w:r>
        <w:rPr>
          <w:b/>
          <w:sz w:val="22"/>
        </w:rPr>
        <w:t>Table des matières (mettre à jour avec F9)</w:t>
      </w:r>
    </w:p>
    <w:p>
      <w:fldSimple w:instr="TOC \o &quot;1-3&quot; \h \z \u">
        <w:r>
          <w:t> </w:t>
        </w:r>
      </w:fldSimple>
    </w:p>
    <w:p>
      <w:pPr>
        <w:pStyle w:val="Heading1"/>
      </w:pPr>
      <w:r>
        <w:t>1. Objet</w:t>
      </w:r>
    </w:p>
    <w:p>
      <w:pPr>
        <w:spacing w:after="120"/>
      </w:pPr>
      <w:r>
        <w:rPr>
          <w:sz w:val="22"/>
        </w:rPr>
        <w:t>Décrire l’objectif précis de la procédure. [À compléter]</w:t>
      </w:r>
    </w:p>
    <w:p>
      <w:pPr>
        <w:pStyle w:val="Heading1"/>
      </w:pPr>
      <w:r>
        <w:t>2. Champ d’application</w:t>
      </w:r>
    </w:p>
    <w:p>
      <w:pPr>
        <w:spacing w:after="120"/>
      </w:pPr>
      <w:r>
        <w:rPr>
          <w:sz w:val="22"/>
        </w:rPr>
        <w:t>Sites, services, profils concernés ; exclusions éventuelles. [À compléter]</w:t>
      </w:r>
    </w:p>
    <w:p>
      <w:pPr>
        <w:pStyle w:val="Heading1"/>
      </w:pPr>
      <w:r>
        <w:t>3. Références &amp; normes</w:t>
      </w:r>
    </w:p>
    <w:p>
      <w:pPr>
        <w:spacing w:after="120"/>
      </w:pPr>
      <w:r>
        <w:rPr>
          <w:sz w:val="22"/>
        </w:rPr>
        <w:t>Normes (ex. ISO 9001, ISO 45001), lois, documents internes référencés. [À compléter]</w:t>
      </w:r>
    </w:p>
    <w:p>
      <w:pPr>
        <w:pStyle w:val="Heading1"/>
      </w:pPr>
      <w:r>
        <w:t>4. Définitions &amp; acronymes</w:t>
      </w:r>
    </w:p>
    <w:p>
      <w:pPr>
        <w:spacing w:after="120"/>
      </w:pPr>
      <w:r>
        <w:rPr>
          <w:sz w:val="22"/>
        </w:rPr>
        <w:t>Lister les termes clés et définitions. [À compléter]</w:t>
      </w:r>
    </w:p>
    <w:p>
      <w:pPr>
        <w:pStyle w:val="Heading1"/>
      </w:pPr>
      <w:r>
        <w:t>5. Rôles &amp; responsabilités (RACI)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vAlign w:val="center"/>
          </w:tcPr>
          <w:p>
            <w:r>
              <w:rPr>
                <w:b/>
              </w:rPr>
              <w:t>Tâche / Rôle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Responsable (R)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Approbateur (A)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Consulté (C)</w:t>
            </w:r>
          </w:p>
        </w:tc>
        <w:tc>
          <w:tcPr>
            <w:tcW w:type="dxa" w:w="2108"/>
            <w:vAlign w:val="center"/>
          </w:tcPr>
          <w:p>
            <w:r>
              <w:rPr>
                <w:b/>
              </w:rPr>
              <w:t>Informé (I)</w:t>
            </w:r>
          </w:p>
        </w:tc>
      </w:tr>
      <w:tr>
        <w:tc>
          <w:tcPr>
            <w:tcW w:type="dxa" w:w="2108"/>
          </w:tcPr>
          <w:p>
            <w:r>
              <w:t>Préparer le dossier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Validation qualité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Mise en production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  <w:tr>
        <w:tc>
          <w:tcPr>
            <w:tcW w:type="dxa" w:w="2108"/>
          </w:tcPr>
          <w:p>
            <w:r>
              <w:t>Diffusion &amp; formation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  <w:tc>
          <w:tcPr>
            <w:tcW w:type="dxa" w:w="2108"/>
          </w:tcPr>
          <w:p>
            <w:r>
              <w:t>—</w:t>
            </w:r>
          </w:p>
        </w:tc>
      </w:tr>
    </w:tbl>
    <w:p>
      <w:pPr>
        <w:pStyle w:val="Heading1"/>
      </w:pPr>
      <w:r>
        <w:t>6. Procédure détaillée — Étapes</w:t>
      </w:r>
    </w:p>
    <w:p>
      <w:pPr>
        <w:pStyle w:val="Heading2"/>
      </w:pPr>
      <w:r>
        <w:t>6.1 Étape 1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6.2 Étape 2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6.3 Étape 3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2"/>
      </w:pPr>
      <w:r>
        <w:t>6.4 Étape 4</w:t>
      </w:r>
    </w:p>
    <w:p>
      <w:pPr>
        <w:spacing w:after="120"/>
      </w:pPr>
      <w:r>
        <w:rPr>
          <w:sz w:val="22"/>
        </w:rPr>
        <w:t>• Entrées : [À compléter]</w:t>
        <w:br/>
        <w:t>• Activités : [À compléter]</w:t>
        <w:br/>
        <w:t>• Sorties : [À compléter]</w:t>
        <w:br/>
        <w:t>• Enregistrements créés : [À compléter]</w:t>
      </w:r>
    </w:p>
    <w:p>
      <w:pPr>
        <w:pStyle w:val="Heading1"/>
      </w:pPr>
      <w:r>
        <w:t>7. Enregistrements &amp; formulaires associés</w:t>
      </w:r>
    </w:p>
    <w:p>
      <w:pPr>
        <w:spacing w:after="120"/>
      </w:pPr>
      <w:r>
        <w:rPr>
          <w:sz w:val="22"/>
        </w:rPr>
        <w:t>Liste des formulaires, templates, et leur code de gestion. [À compléter]</w:t>
      </w:r>
    </w:p>
    <w:p>
      <w:pPr>
        <w:pStyle w:val="Heading1"/>
      </w:pPr>
      <w:r>
        <w:t>8. Indicateurs &amp; KPI de pilotage</w:t>
      </w:r>
    </w:p>
    <w:p>
      <w:pPr>
        <w:spacing w:after="120"/>
      </w:pPr>
      <w:r>
        <w:rPr>
          <w:sz w:val="22"/>
        </w:rPr>
        <w:t>Définir les KPI, mode de calcul, cible, fréquence de revue. [À compléter]</w:t>
      </w:r>
    </w:p>
    <w:p>
      <w:r>
        <w:rPr>
          <w:sz w:val="20"/>
        </w:rPr>
        <w:t>☐ Indicateur obligatoire</w:t>
      </w:r>
      <w:r>
        <w:rPr>
          <w:sz w:val="20"/>
        </w:rPr>
        <w:t xml:space="preserve">    ☐ Indicateur optionnel</w:t>
      </w:r>
    </w:p>
    <w:p>
      <w:pPr>
        <w:pStyle w:val="Heading1"/>
      </w:pPr>
      <w:r>
        <w:t>9. Maîtrise documentaire</w:t>
      </w:r>
    </w:p>
    <w:p>
      <w:pPr>
        <w:spacing w:after="120"/>
      </w:pPr>
      <w:r>
        <w:rPr>
          <w:sz w:val="22"/>
        </w:rPr>
        <w:t>Référencement, diffusion, archivage, période de révision, droits d’accès. [À compléter]</w:t>
      </w:r>
    </w:p>
    <w:p>
      <w:pPr>
        <w:pStyle w:val="Heading1"/>
      </w:pPr>
      <w:r>
        <w:t>10. Gestion des versions &amp; approbations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635"/>
          </w:tcPr>
          <w:p>
            <w:r>
              <w:rPr>
                <w:b/>
              </w:rPr>
              <w:t>Modifications</w:t>
            </w:r>
          </w:p>
        </w:tc>
        <w:tc>
          <w:tcPr>
            <w:tcW w:type="dxa" w:w="2635"/>
          </w:tcPr>
          <w:p>
            <w:r>
              <w:rPr>
                <w:b/>
              </w:rPr>
              <w:t>Auteur/Validation</w:t>
            </w:r>
          </w:p>
        </w:tc>
      </w:tr>
      <w:tr>
        <w:tc>
          <w:tcPr>
            <w:tcW w:type="dxa" w:w="2635"/>
          </w:tcPr>
          <w:p>
            <w:r>
              <w:t>V1.0</w:t>
            </w:r>
          </w:p>
        </w:tc>
        <w:tc>
          <w:tcPr>
            <w:tcW w:type="dxa" w:w="2635"/>
          </w:tcPr>
          <w:p>
            <w:r>
              <w:t>2025-10-08</w:t>
            </w:r>
          </w:p>
        </w:tc>
        <w:tc>
          <w:tcPr>
            <w:tcW w:type="dxa" w:w="2635"/>
          </w:tcPr>
          <w:p>
            <w:r>
              <w:t>Création initiale de la procédure</w:t>
            </w:r>
          </w:p>
        </w:tc>
        <w:tc>
          <w:tcPr>
            <w:tcW w:type="dxa" w:w="2635"/>
          </w:tcPr>
          <w:p>
            <w:r>
              <w:t>[Nom &amp; signature]</w:t>
            </w:r>
          </w:p>
        </w:tc>
      </w:tr>
    </w:tbl>
    <w:p>
      <w:pPr>
        <w:pStyle w:val="Heading1"/>
      </w:pPr>
      <w:r>
        <w:t>Annexes</w:t>
      </w:r>
    </w:p>
    <w:p>
      <w:pPr>
        <w:spacing w:after="120"/>
      </w:pPr>
      <w:r>
        <w:rPr>
          <w:sz w:val="22"/>
        </w:rPr>
        <w:t>Diagrammes de flux, captures d’écran, check-lists, etc. [À compléter]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850" w:right="68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Page </w:t>
    </w:r>
    <w:fldSimple w:instr="PAGE">
      <w:r>
        <w:t> </w:t>
      </w:r>
    </w:fldSimple>
    <w:r>
      <w:rPr>
        <w:sz w:val="18"/>
      </w:rPr>
      <w:t xml:space="preserve"> / </w:t>
    </w:r>
    <w:fldSimple w:instr="NUMPAGES">
      <w:r>
        <w:t> </w:t>
      </w:r>
    </w:fldSimple>
    <w:r>
      <w:rPr>
        <w:sz w:val="18"/>
      </w:rPr>
      <w:t xml:space="preserve">  •  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5270"/>
      <w:gridCol w:w="5270"/>
    </w:tblGrid>
    <w:tr>
      <w:tc>
        <w:tcPr>
          <w:tcW w:type="dxa" w:w="5270"/>
          <w:shd w:val="clear" w:color="auto" w:fill="20C997"/>
          <w:vAlign w:val="center"/>
        </w:tcPr>
        <w:p>
          <w:pPr>
            <w:jc w:val="left"/>
          </w:pPr>
          <w:r>
            <w:rPr>
              <w:b/>
              <w:color w:val="FFFFFF"/>
              <w:sz w:val="20"/>
            </w:rPr>
            <w:t>lecoursgratuit.com</w:t>
          </w:r>
        </w:p>
      </w:tc>
      <w:tc>
        <w:tcPr>
          <w:tcW w:type="dxa" w:w="5270"/>
          <w:shd w:val="clear" w:color="auto" w:fill="20C997"/>
          <w:vAlign w:val="center"/>
        </w:tcPr>
        <w:p>
          <w:pPr>
            <w:jc w:val="right"/>
          </w:pPr>
          <w:r>
            <w:rPr>
              <w:b/>
              <w:color w:val="FFFFFF"/>
              <w:sz w:val="20"/>
            </w:rPr>
            <w:t>Procédure Finance — Procure-to-Pay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