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
</file>

<file path=word/document.xml><?xml version="1.0" encoding="utf-8"?>
<w:document xmlns:w="http://schemas.openxmlformats.org/wordprocessingml/2006/main" xmlns:r="http://schemas.openxmlformats.org/officeDocument/2006/relationships">
  <w:body>
    <w:tbl>
      <w:tblPr>
        <w:tblStyle w:val="TableGrid"/>
        <w:tblW w:w="5000" w:type="pct"/>
        <w:tblBorders>
          <w:top w:val="single" w:sz="8" w:space="0" w:color="93C5FD"/>
          <w:left w:val="single" w:sz="8" w:space="0" w:color="93C5FD"/>
          <w:bottom w:val="single" w:sz="8" w:space="0" w:color="93C5FD"/>
          <w:right w:val="single" w:sz="8" w:space="0" w:color="93C5FD"/>
          <w:insideH w:val="single" w:sz="6" w:space="0" w:color="E5E7EB"/>
          <w:insideV w:val="single" w:sz="6" w:space="0" w:color="E5E7EB"/>
        </w:tblBorders>
        <w:tblLook w:val="04A0" w:firstRow="1" w:lastRow="0" w:firstColumn="1" w:lastColumn="0" w:noHBand="0" w:noVBand="1"/>
      </w:tblPr>
      <w:tr>
        <w:tc>
          <w:tcPr>
            <w:tcW w:w="16000" w:type="dxa"/>
            <w:shd w:val="clear" w:color="auto" w:fill="1F2937"/>
            <w:vAlign w:val="center"/>
          </w:tcPr>
          <w:p>
            <w:pPr>
              <w:jc w:val="center"/>
            </w:pPr>
            <w:r>
              <w:rPr>
                <w:sz w:val="32"/>
                <w:szCs w:val="32"/>
                <w:b/>
                <w:color w:val="FFFFFF"/>
              </w:rPr>
              <w:t>FICHE DE SYNTHÈSE — TPE (modèle avancé, A4 paysage)</w:t>
            </w:r>
          </w:p>
        </w:tc>
      </w:tr>
    </w:tbl>
    <w:tbl>
      <w:tblPr>
        <w:tblStyle w:val="TableGrid"/>
        <w:tblW w:w="5000" w:type="pct"/>
        <w:tblBorders>
          <w:top w:val="single" w:sz="8" w:space="0" w:color="93C5FD"/>
          <w:left w:val="single" w:sz="8" w:space="0" w:color="93C5FD"/>
          <w:bottom w:val="single" w:sz="8" w:space="0" w:color="93C5FD"/>
          <w:right w:val="single" w:sz="8" w:space="0" w:color="93C5FD"/>
          <w:insideH w:val="single" w:sz="6" w:space="0" w:color="E5E7EB"/>
          <w:insideV w:val="single" w:sz="6" w:space="0" w:color="E5E7EB"/>
        </w:tblBorders>
        <w:tblLook w:val="04A0" w:firstRow="1" w:lastRow="0" w:firstColumn="1" w:lastColumn="0" w:noHBand="0" w:noVBand="1"/>
      </w:tblPr>
      <w:tr>
        <w:tc>
          <w:tcPr>
            <w:tcW w:w="16000" w:type="dxa"/>
            <w:shd w:val="clear" w:color="auto" w:fill="2563EB"/>
            <w:vAlign w:val="center"/>
          </w:tcPr>
          <w:p>
            <w:pPr>
              <w:jc w:val="center"/>
            </w:pPr>
            <w:r>
              <w:rPr>
                <w:sz w:val="22"/>
                <w:szCs w:val="22"/>
                <w:color w:val="FFFFFF"/>
              </w:rPr>
              <w:t>Thème : Sommeil des lycéens et performance scolaire</w:t>
            </w:r>
          </w:p>
        </w:tc>
      </w:tr>
    </w:tbl>
    <w:p>
      <w:pPr>
        <w:spacing w:after="80"/>
      </w:pPr>
      <w:r>
        <w:rPr>
          <w:sz w:val="24"/>
          <w:szCs w:val="24"/>
        </w:rPr>
        <w:t/>
      </w:r>
    </w:p>
    <w:tbl>
      <w:tblPr>
        <w:tblStyle w:val="TableGrid"/>
        <w:tblW w:w="5000" w:type="pct"/>
        <w:tblBorders>
          <w:top w:val="single" w:sz="8" w:space="0" w:color="93C5FD"/>
          <w:left w:val="single" w:sz="8" w:space="0" w:color="93C5FD"/>
          <w:bottom w:val="single" w:sz="8" w:space="0" w:color="93C5FD"/>
          <w:right w:val="single" w:sz="8" w:space="0" w:color="93C5FD"/>
          <w:insideH w:val="single" w:sz="6" w:space="0" w:color="E5E7EB"/>
          <w:insideV w:val="single" w:sz="6" w:space="0" w:color="E5E7EB"/>
        </w:tblBorders>
        <w:tblLook w:val="04A0" w:firstRow="1" w:lastRow="0" w:firstColumn="1" w:lastColumn="0" w:noHBand="0" w:noVBand="1"/>
      </w:tblPr>
      <w:tr>
        <w:tc>
          <w:tcPr>
            <w:tcW w:w="3000" w:type="dxa"/>
            <w:shd w:val="clear" w:color="auto" w:fill="DBEAFE"/>
            <w:vAlign w:val="center"/>
          </w:tcPr>
          <w:p>
            <w:pPr/>
            <w:r>
              <w:rPr>
                <w:sz w:val="20"/>
                <w:szCs w:val="20"/>
                <w:b/>
              </w:rPr>
              <w:t>Élève(s)</w:t>
            </w:r>
          </w:p>
        </w:tc>
        <w:tc>
          <w:tcPr>
            <w:tcW w:w="7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Élodie Martin, Yanis Dupont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Classe : Première</w:t>
            </w:r>
          </w:p>
        </w:tc>
      </w:tr>
      <w:tr>
        <w:tc>
          <w:tcPr>
            <w:tcW w:w="3000" w:type="dxa"/>
            <w:shd w:val="clear" w:color="auto" w:fill="DBEAFE"/>
            <w:vAlign w:val="center"/>
          </w:tcPr>
          <w:p>
            <w:pPr/>
            <w:r>
              <w:rPr>
                <w:sz w:val="20"/>
                <w:szCs w:val="20"/>
                <w:b/>
              </w:rPr>
              <w:t>Lycée</w:t>
            </w:r>
          </w:p>
        </w:tc>
        <w:tc>
          <w:tcPr>
            <w:tcW w:w="7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Lycée Jean-Moulin — Nantes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Version : v1.0 • 27/10/2025</w:t>
            </w:r>
          </w:p>
        </w:tc>
      </w:tr>
      <w:tr>
        <w:tc>
          <w:tcPr>
            <w:tcW w:w="3000" w:type="dxa"/>
            <w:shd w:val="clear" w:color="auto" w:fill="DBEAFE"/>
            <w:vAlign w:val="center"/>
          </w:tcPr>
          <w:p>
            <w:pPr/>
            <w:r>
              <w:rPr>
                <w:sz w:val="20"/>
                <w:szCs w:val="20"/>
                <w:b/>
              </w:rPr>
              <w:t>Problématique</w:t>
            </w:r>
          </w:p>
        </w:tc>
        <w:tc>
          <w:tcPr>
            <w:tcW w:w="10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En quoi l’hygiène de sommeil influence-t-elle la concentration et les résultats scolaires au lycée ?</w:t>
            </w:r>
          </w:p>
        </w:tc>
      </w:tr>
      <w:tr>
        <w:tc>
          <w:tcPr>
            <w:tcW w:w="3000" w:type="dxa"/>
            <w:shd w:val="clear" w:color="auto" w:fill="DBEAFE"/>
            <w:vAlign w:val="center"/>
          </w:tcPr>
          <w:p>
            <w:pPr/>
            <w:r>
              <w:rPr>
                <w:sz w:val="20"/>
                <w:szCs w:val="20"/>
                <w:b/>
              </w:rPr>
              <w:t>Disciplines</w:t>
            </w:r>
          </w:p>
        </w:tc>
        <w:tc>
          <w:tcPr>
            <w:tcW w:w="7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SVT • Physique-Chimie • Mathématiques (statistiques) • SES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Encadrants : Mme Leroy, M. Karim</w:t>
            </w:r>
          </w:p>
        </w:tc>
      </w:tr>
    </w:tbl>
    <w:p>
      <w:pPr>
        <w:spacing w:after="100"/>
      </w:pPr>
      <w:r>
        <w:rPr>
          <w:sz w:val="24"/>
          <w:szCs w:val="24"/>
        </w:rPr>
        <w:t/>
      </w:r>
    </w:p>
    <w:tbl>
      <w:tblPr>
        <w:tblStyle w:val="TableGrid"/>
        <w:tblW w:w="5000" w:type="pct"/>
        <w:tblBorders>
          <w:top w:val="single" w:sz="8" w:space="0" w:color="93C5FD"/>
          <w:left w:val="single" w:sz="8" w:space="0" w:color="93C5FD"/>
          <w:bottom w:val="single" w:sz="8" w:space="0" w:color="93C5FD"/>
          <w:right w:val="single" w:sz="8" w:space="0" w:color="93C5FD"/>
          <w:insideH w:val="single" w:sz="6" w:space="0" w:color="E5E7EB"/>
          <w:insideV w:val="single" w:sz="6" w:space="0" w:color="E5E7EB"/>
        </w:tblBorders>
        <w:tblLook w:val="04A0" w:firstRow="1" w:lastRow="0" w:firstColumn="1" w:lastColumn="0" w:noHBand="0" w:noVBand="1"/>
      </w:tblPr>
      <w:tr>
        <w:tc>
          <w:tcPr>
            <w:tcW w:w="2500" w:type="dxa"/>
            <w:shd w:val="clear" w:color="auto" w:fill="2563EB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  <w:color w:val="FFFFFF"/>
              </w:rPr>
              <w:t>Étapes</w:t>
            </w:r>
          </w:p>
        </w:tc>
        <w:tc>
          <w:tcPr>
            <w:tcW w:w="8000" w:type="dxa"/>
            <w:shd w:val="clear" w:color="auto" w:fill="2563EB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  <w:color w:val="FFFFFF"/>
              </w:rPr>
              <w:t>Contenu synthétique (pré-rempli)</w:t>
            </w:r>
          </w:p>
        </w:tc>
        <w:tc>
          <w:tcPr>
            <w:tcW w:w="3000" w:type="dxa"/>
            <w:shd w:val="clear" w:color="auto" w:fill="2563EB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  <w:color w:val="FFFFFF"/>
              </w:rPr>
              <w:t>Sources / Preuves</w:t>
            </w:r>
          </w:p>
        </w:tc>
        <w:tc>
          <w:tcPr>
            <w:tcW w:w="2500" w:type="dxa"/>
            <w:shd w:val="clear" w:color="auto" w:fill="2563EB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  <w:color w:val="FFFFFF"/>
              </w:rPr>
              <w:t>Apport perso &amp; compétences</w:t>
            </w:r>
          </w:p>
        </w:tc>
      </w:tr>
      <w:tr>
        <w:tc>
          <w:tcPr>
            <w:tcW w:w="2500" w:type="dxa"/>
            <w:shd w:val="clear" w:color="auto" w:fill="DBEAFE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Introduction &amp; choix</w:t>
            </w:r>
          </w:p>
        </w:tc>
        <w:tc>
          <w:tcPr>
            <w:tcW w:w="8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Motivation : beaucoup d’élèves déclarent être fatigués en première heure.
Hypothèse : un coucher après 23h réduit l’attention et les notes en contrôle court.
Plan : 1) cadrage scientifique du sommeil adolescent, 2) enquête &amp; test d’attention, 3) analyse statistique, 4) recommandations.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- Articles INSERM vulgarisés
- Chapitres SVT « sommeil »
- Revue « Cerveau &amp; Psycho »</w:t>
            </w:r>
          </w:p>
        </w:tc>
        <w:tc>
          <w:tcPr>
            <w:tcW w:w="2500" w:type="dxa"/>
            <w:shd w:val="clear" w:color="auto" w:fill="E0F2FE"/>
            <w:vAlign w:val="center"/>
          </w:tcPr>
          <w:p>
            <w:pPr/>
            <w:r>
              <w:rPr>
                <w:sz w:val="20"/>
                <w:szCs w:val="20"/>
              </w:rPr>
              <w:t>Initiative : cadrage de l’hypothèse.
Compétences : synthèse, problématisation.</w:t>
            </w:r>
          </w:p>
        </w:tc>
      </w:tr>
      <w:tr>
        <w:tc>
          <w:tcPr>
            <w:tcW w:w="2500" w:type="dxa"/>
            <w:shd w:val="clear" w:color="auto" w:fill="DBEAFE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Recherche documentaire</w:t>
            </w:r>
          </w:p>
        </w:tc>
        <w:tc>
          <w:tcPr>
            <w:tcW w:w="8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Notions clés : cycle circadien, mélatonine, dette de sommeil, effet de rattrapage.
Critères de fiabilité : auteur, date, méthode, revue par les pairs.
Fiche de lecture : 6 sources retenues, 2 écartées (blog, forum).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- INSERM (dossiers sommeil)
- HAS (repères hygiène de vie)
- 2 articles académiques (2016, 2021)</w:t>
            </w:r>
          </w:p>
        </w:tc>
        <w:tc>
          <w:tcPr>
            <w:tcW w:w="2500" w:type="dxa"/>
            <w:shd w:val="clear" w:color="auto" w:fill="E0F2FE"/>
            <w:vAlign w:val="center"/>
          </w:tcPr>
          <w:p>
            <w:pPr/>
            <w:r>
              <w:rPr>
                <w:sz w:val="20"/>
                <w:szCs w:val="20"/>
              </w:rPr>
              <w:t>Initiative : grille d’évaluation des sources.
Compétences : recherche, esprit critique.</w:t>
            </w:r>
          </w:p>
        </w:tc>
      </w:tr>
      <w:tr>
        <w:tc>
          <w:tcPr>
            <w:tcW w:w="2500" w:type="dxa"/>
            <w:shd w:val="clear" w:color="auto" w:fill="DBEAFE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Production — méthode</w:t>
            </w:r>
          </w:p>
        </w:tc>
        <w:tc>
          <w:tcPr>
            <w:tcW w:w="8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Enquête : questionnaire (n=82) sur heures de coucher/lever, écran en soirée, sieste.
Test d’attention : Stroop court (papier) + calcul mental 2 min.
Groupes : Coucher ≤22h vs ≥23h ; contrôle par temps d’écran.
Analyse : moyenne, écart-type, test t (α=5%).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- Questionnaire Google Forms exporté CSV
- Grille de test &amp; protocole
- Tableur : calculs &amp; graphiques</w:t>
            </w:r>
          </w:p>
        </w:tc>
        <w:tc>
          <w:tcPr>
            <w:tcW w:w="2500" w:type="dxa"/>
            <w:shd w:val="clear" w:color="auto" w:fill="E0F2FE"/>
            <w:vAlign w:val="center"/>
          </w:tcPr>
          <w:p>
            <w:pPr/>
            <w:r>
              <w:rPr>
                <w:sz w:val="20"/>
                <w:szCs w:val="20"/>
              </w:rPr>
              <w:t>Initiative : protocole validé par CPE.
Compétences : méthodo, stats de base, rigueur.</w:t>
            </w:r>
          </w:p>
        </w:tc>
      </w:tr>
      <w:tr>
        <w:tc>
          <w:tcPr>
            <w:tcW w:w="2500" w:type="dxa"/>
            <w:shd w:val="clear" w:color="auto" w:fill="DBEAFE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Résultats</w:t>
            </w:r>
          </w:p>
        </w:tc>
        <w:tc>
          <w:tcPr>
            <w:tcW w:w="8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Résumés :
• Notes contrôle court (moy.) : 12,6 (≤22h) vs 11,2 (≥23h) → Δ = +1,4 pts.
• Test d’attention (erreurs moy.) : 3,1 vs 4,6.
• Effet écran ≥2h : baisse supplémentaire de 0,8 pt.
Test t : écart significatif pour l’attention (p=0,03), limite pour notes (p=0,07).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- Feuilles de calcul &amp; graphiques
- Copies anonymisées (échantillon)
- Journal de protocole</w:t>
            </w:r>
          </w:p>
        </w:tc>
        <w:tc>
          <w:tcPr>
            <w:tcW w:w="2500" w:type="dxa"/>
            <w:shd w:val="clear" w:color="auto" w:fill="E0F2FE"/>
            <w:vAlign w:val="center"/>
          </w:tcPr>
          <w:p>
            <w:pPr/>
            <w:r>
              <w:rPr>
                <w:sz w:val="20"/>
                <w:szCs w:val="20"/>
              </w:rPr>
              <w:t>Initiative : visualisation claire.
Compétences : analyse, data viz.</w:t>
            </w:r>
          </w:p>
        </w:tc>
      </w:tr>
      <w:tr>
        <w:tc>
          <w:tcPr>
            <w:tcW w:w="2500" w:type="dxa"/>
            <w:shd w:val="clear" w:color="auto" w:fill="DBEAFE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Limites &amp; ouvertures</w:t>
            </w:r>
          </w:p>
        </w:tc>
        <w:tc>
          <w:tcPr>
            <w:tcW w:w="8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Limites : échantillon unique (un lycée), auto-déclaration sommeil, biais de motivation.
Ouvertures : capteurs sommeil (actimétrie), suivi longue durée, intervention hygiène du sommeil.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- Bibliographie sur actimétrie
- Proposition d’accord parental</w:t>
            </w:r>
          </w:p>
        </w:tc>
        <w:tc>
          <w:tcPr>
            <w:tcW w:w="2500" w:type="dxa"/>
            <w:shd w:val="clear" w:color="auto" w:fill="E0F2FE"/>
            <w:vAlign w:val="center"/>
          </w:tcPr>
          <w:p>
            <w:pPr/>
            <w:r>
              <w:rPr>
                <w:sz w:val="20"/>
                <w:szCs w:val="20"/>
              </w:rPr>
              <w:t>Initiative : identification des biais.
Compétences : réflexivité.</w:t>
            </w:r>
          </w:p>
        </w:tc>
      </w:tr>
      <w:tr>
        <w:tc>
          <w:tcPr>
            <w:tcW w:w="2500" w:type="dxa"/>
            <w:shd w:val="clear" w:color="auto" w:fill="DBEAFE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Bilan personnel</w:t>
            </w:r>
          </w:p>
        </w:tc>
        <w:tc>
          <w:tcPr>
            <w:tcW w:w="8000" w:type="dxa"/>
            <w:shd w:val="clear" w:color="auto" w:fill="EFF6FF"/>
            <w:vAlign w:val="center"/>
          </w:tcPr>
          <w:p>
            <w:pPr/>
            <w:r>
              <w:rPr>
                <w:sz w:val="20"/>
                <w:szCs w:val="20"/>
              </w:rPr>
              <w:t>Ce que j’ai appris : mécanismes du sommeil, lecture d’articles scientifiques, tests statistiques simples.
Ce que je ferais autrement : mesurer l’attention sur plusieurs semaines, mieux contrôler l’usage des écrans.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- Tableau compétences (annexe)
- Auto-évaluation</w:t>
            </w:r>
          </w:p>
        </w:tc>
        <w:tc>
          <w:tcPr>
            <w:tcW w:w="2500" w:type="dxa"/>
            <w:shd w:val="clear" w:color="auto" w:fill="E0F2FE"/>
            <w:vAlign w:val="center"/>
          </w:tcPr>
          <w:p>
            <w:pPr/>
            <w:r>
              <w:rPr>
                <w:sz w:val="20"/>
                <w:szCs w:val="20"/>
              </w:rPr>
              <w:t>Compétences : communication scientifique, collaboration, gestion du temps.</w:t>
            </w:r>
          </w:p>
        </w:tc>
      </w:tr>
    </w:tbl>
    <w:p>
      <w:pPr>
        <w:spacing w:after="80"/>
      </w:pPr>
      <w:r>
        <w:rPr>
          <w:sz w:val="24"/>
          <w:szCs w:val="24"/>
        </w:rPr>
        <w:t/>
      </w:r>
    </w:p>
    <w:tbl>
      <w:tblPr>
        <w:tblStyle w:val="TableGrid"/>
        <w:tblW w:w="5000" w:type="pct"/>
        <w:tblBorders>
          <w:top w:val="single" w:sz="8" w:space="0" w:color="93C5FD"/>
          <w:left w:val="single" w:sz="8" w:space="0" w:color="93C5FD"/>
          <w:bottom w:val="single" w:sz="8" w:space="0" w:color="93C5FD"/>
          <w:right w:val="single" w:sz="8" w:space="0" w:color="93C5FD"/>
          <w:insideH w:val="single" w:sz="6" w:space="0" w:color="E5E7EB"/>
          <w:insideV w:val="single" w:sz="6" w:space="0" w:color="E5E7EB"/>
        </w:tblBorders>
        <w:tblLook w:val="04A0" w:firstRow="1" w:lastRow="0" w:firstColumn="1" w:lastColumn="0" w:noHBand="0" w:noVBand="1"/>
      </w:tblPr>
      <w:tr>
        <w:tc>
          <w:tcPr>
            <w:tcW w:w="16000" w:type="dxa"/>
            <w:shd w:val="clear" w:color="auto" w:fill="2563EB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  <w:color w:val="FFFFFF"/>
              </w:rPr>
              <w:t>Calendrier synthétique (jalons)</w:t>
            </w:r>
          </w:p>
        </w:tc>
      </w:tr>
      <w:tr>
        <w:tc>
          <w:tcPr>
            <w:tcW w:w="16000" w:type="dxa"/>
            <w:shd w:val="clear" w:color="auto" w:fill="FFFFFF"/>
            <w:vAlign w:val="center"/>
          </w:tcPr>
          <w:p>
            <w:pPr/>
            <w:r>
              <w:rPr>
                <w:sz w:val="20"/>
                <w:szCs w:val="20"/>
              </w:rPr>
              <w:t>S1–S2 : cadrage &amp; sources  •  S3–S4 : protocole  •  S5 : collecte  •  S6 : analyse  •  S7 : rédaction  •  S8 : soutenance</w:t>
            </w:r>
          </w:p>
        </w:tc>
      </w:tr>
      <w:tr>
        <w:tc>
          <w:tcPr>
            <w:tcW w:w="16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</w:rPr>
              <w:t>Progression globale : ■■■■□□ (≈ 66 %)  —  Prochain jalon : finaliser l’analyse statistique</w:t>
            </w:r>
          </w:p>
        </w:tc>
      </w:tr>
    </w:tbl>
    <w:p>
      <w:pPr>
        <w:spacing w:after="0"/>
      </w:pPr>
      <w:r>
        <w:rPr>
          <w:sz w:val="18"/>
          <w:szCs w:val="18"/>
          <w:color w:val="6B7280"/>
        </w:rPr>
        <w:t>Note : personnalisez le thème, les couleurs et le sujet. Conservez les preuves (annexes) et sourcer vos données.</w:t>
      </w:r>
    </w:p>
    <w:sectPr>
      <w:pgSz w:w="16838" w:h="11906" w:orient="landscape"/>
      <w:pgMar w:top="900" w:right="900" w:bottom="1000" w:left="900" w:header="708" w:footer="708" w:gutter="0"/>
      <w:footerReference w:type="default" r:id="rIdFtr1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color w:val="9CA3AF"/>
        <w:sz w:val="18"/>
        <w:szCs w:val="18"/>
      </w:rPr>
      <w:t>lecoursgratuit.com — Fiche de synthèse TPE — A4 paysage (modèle avancé)</w:t>
    </w:r>
  </w:p>
</w:ftr>
</file>

<file path=word/_rels/document.xml.rels><?xml version="1.0" encoding="UTF-8" standalone="yes"?>
<Relationships xmlns="http://schemas.openxmlformats.org/officeDocument/2006/relationships">
  <Relationship Id="rIdFtr1" Type="http://schemas.openxmlformats.org/officeDocument/2006/relationships/footer" Target="footer1.xml"/>
</Relationships>

</file>