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trHeight w:val="283"/>
        </w:trPr>
        <w:tc>
          <w:tcPr>
            <w:tcW w:type="dxa" w:w="3289"/>
            <w:shd w:val="clear" w:color="auto" w:fill="0055A4"/>
          </w:tcPr>
          <w:p/>
        </w:tc>
        <w:tc>
          <w:tcPr>
            <w:tcW w:type="dxa" w:w="3289"/>
            <w:shd w:val="clear" w:color="auto" w:fill="FFFFFF"/>
          </w:tcPr>
          <w:p/>
        </w:tc>
        <w:tc>
          <w:tcPr>
            <w:tcW w:type="dxa" w:w="3289"/>
            <w:shd w:val="clear" w:color="auto" w:fill="EF4135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F5F7FA"/>
          </w:tcPr>
          <w:p>
            <w:pPr>
              <w:jc w:val="center"/>
            </w:pPr>
            <w:r>
              <w:rPr>
                <w:b/>
              </w:rPr>
              <w:t>ÉDUCATION NATIONALE — FICHE SÉQUENCE (France — EPS)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082"/>
        <w:gridCol w:w="5556"/>
      </w:tblGrid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Académie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Établissement (UAI)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Ville / Code postal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Cycle / Voie (C2–C3–C4 / Lycée GT / LP)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Niveau / Classe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Période (du … au …)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Thème / Entrée du programme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Références BO (n°, année)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APSA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Installations / Matériel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Objectifs &amp; Compétences EPS (réaliser / adapter / s’engager / respecter)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Sécurité / Échauffement / Règlement — Protocoles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Différenciation &amp; Inclusion (ULIS, PAP, PAI, PPS)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F4135"/>
          </w:tcPr>
          <w:p>
            <w:r>
              <w:rPr>
                <w:b/>
                <w:color w:val="FFFFFF"/>
              </w:rPr>
              <w:t>Déroulé des séances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1247"/>
        <w:gridCol w:w="1814"/>
        <w:gridCol w:w="2608"/>
        <w:gridCol w:w="1701"/>
        <w:gridCol w:w="2041"/>
        <w:gridCol w:w="1020"/>
        <w:gridCol w:w="1701"/>
      </w:tblGrid>
      <w:tr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Séance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Objectifs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Contenus (ateliers/exos)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Installations / Matériel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Consignes &amp; sécurité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Durée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Évaluation/Traces</w:t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Évaluation — Critères par APSA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Bilan &amp; Remédiation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Fiche Séquence (EPS)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