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Pomodoro — Étude de cas (Prospection commerciale)</w:t>
            </w:r>
            <w:r>
              <w:rPr>
                <w:sz w:val="2"/>
              </w:rPr>
              <w:br/>
            </w:r>
            <w:r>
              <w:rPr>
                <w:color w:val="EBFFF5"/>
                <w:sz w:val="20"/>
              </w:rPr>
              <w:t>Session 4×25 min • objectifs • plan • distractions • bilan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En‑tête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587"/>
            <w:shd w:val="clear" w:color="auto" w:fill="E5E7EB"/>
          </w:tcPr>
          <w:p>
            <w:r>
              <w:t>Date</w:t>
            </w:r>
          </w:p>
        </w:tc>
        <w:tc>
          <w:tcPr>
            <w:tcW w:type="dxa" w:w="3288"/>
            <w:shd w:val="clear" w:color="auto" w:fill="E5E7EB"/>
          </w:tcPr>
          <w:p>
            <w:r>
              <w:t>Projet / Sujet</w:t>
            </w:r>
          </w:p>
        </w:tc>
        <w:tc>
          <w:tcPr>
            <w:tcW w:type="dxa" w:w="2041"/>
            <w:shd w:val="clear" w:color="auto" w:fill="E5E7EB"/>
          </w:tcPr>
          <w:p>
            <w:r>
              <w:t>Cas d’usage</w:t>
            </w:r>
          </w:p>
        </w:tc>
        <w:tc>
          <w:tcPr>
            <w:tcW w:type="dxa" w:w="1587"/>
            <w:shd w:val="clear" w:color="auto" w:fill="E5E7EB"/>
          </w:tcPr>
          <w:p>
            <w:r>
              <w:t>Session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Début</w:t>
            </w:r>
          </w:p>
        </w:tc>
        <w:tc>
          <w:tcPr>
            <w:tcW w:type="dxa" w:w="2268"/>
            <w:shd w:val="clear" w:color="auto" w:fill="E5E7EB"/>
          </w:tcPr>
          <w:p>
            <w:r>
              <w:t>Mots‑clés</w:t>
            </w:r>
          </w:p>
        </w:tc>
      </w:tr>
      <w:tr>
        <w:tc>
          <w:tcPr>
            <w:tcW w:type="dxa" w:w="1587"/>
          </w:tcPr>
          <w:p>
            <w:r>
              <w:t>17/10/2025</w:t>
            </w:r>
          </w:p>
        </w:tc>
        <w:tc>
          <w:tcPr>
            <w:tcW w:type="dxa" w:w="3288"/>
          </w:tcPr>
          <w:p>
            <w:r>
              <w:t>Campagne Q4 — segment PME</w:t>
            </w:r>
          </w:p>
        </w:tc>
        <w:tc>
          <w:tcPr>
            <w:tcW w:type="dxa" w:w="2041"/>
          </w:tcPr>
          <w:p>
            <w:r>
              <w:t>Prospection</w:t>
            </w:r>
          </w:p>
        </w:tc>
        <w:tc>
          <w:tcPr>
            <w:tcW w:type="dxa" w:w="1587"/>
          </w:tcPr>
          <w:p>
            <w:r>
              <w:t>Matinée</w:t>
            </w:r>
          </w:p>
        </w:tc>
        <w:tc>
          <w:tcPr>
            <w:tcW w:type="dxa" w:w="1587"/>
          </w:tcPr>
          <w:p>
            <w:r>
              <w:t>09:00</w:t>
            </w:r>
          </w:p>
        </w:tc>
        <w:tc>
          <w:tcPr>
            <w:tcW w:type="dxa" w:w="2268"/>
          </w:tcPr>
          <w:p>
            <w:r>
              <w:t>#sales #prospection #pipeline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Paramètres (adapter si besoin)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154"/>
            <w:shd w:val="clear" w:color="auto" w:fill="E5E7EB"/>
          </w:tcPr>
          <w:p>
            <w:r>
              <w:t>Durée Pomodoro (min)</w:t>
            </w:r>
          </w:p>
        </w:tc>
        <w:tc>
          <w:tcPr>
            <w:tcW w:type="dxa" w:w="1474"/>
          </w:tcPr>
          <w:p>
            <w:r>
              <w:t>25</w:t>
            </w:r>
          </w:p>
        </w:tc>
        <w:tc>
          <w:tcPr>
            <w:tcW w:type="dxa" w:w="2154"/>
            <w:shd w:val="clear" w:color="auto" w:fill="E5E7EB"/>
          </w:tcPr>
          <w:p>
            <w:r>
              <w:t>Pause courte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  <w:tc>
          <w:tcPr>
            <w:tcW w:type="dxa" w:w="2268"/>
            <w:shd w:val="clear" w:color="auto" w:fill="E5E7EB"/>
          </w:tcPr>
          <w:p>
            <w:r>
              <w:t>Pause longue (min)</w:t>
            </w:r>
          </w:p>
        </w:tc>
        <w:tc>
          <w:tcPr>
            <w:tcW w:type="dxa" w:w="1474"/>
          </w:tcPr>
          <w:p>
            <w:r>
              <w:t>15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Nombre de sprints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154"/>
            <w:shd w:val="clear" w:color="auto" w:fill="E5E7EB"/>
          </w:tcPr>
          <w:p>
            <w:r>
              <w:t>Tolérance plan (± min)</w:t>
            </w:r>
          </w:p>
        </w:tc>
        <w:tc>
          <w:tcPr>
            <w:tcW w:type="dxa" w:w="1474"/>
          </w:tcPr>
          <w:p>
            <w:r>
              <w:t>2</w:t>
            </w:r>
          </w:p>
        </w:tc>
        <w:tc>
          <w:tcPr>
            <w:tcW w:type="dxa" w:w="2268"/>
            <w:shd w:val="clear" w:color="auto" w:fill="E5E7EB"/>
          </w:tcPr>
          <w:p>
            <w:r>
              <w:t>Règle pause finale</w:t>
            </w:r>
          </w:p>
        </w:tc>
        <w:tc>
          <w:tcPr>
            <w:tcW w:type="dxa" w:w="1474"/>
          </w:tcPr>
          <w:p>
            <w:r>
              <w:t>15 min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Objectifs (3 max)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10"/>
          </w:tcPr>
          <w:p/>
        </w:tc>
        <w:tc>
          <w:tcPr>
            <w:tcW w:type="dxa" w:w="9354"/>
          </w:tcPr>
          <w:p/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Qualifier 15 leads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5 messages personnalisés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Plan de relance (5 créneaux)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Plan de session — 4×25 min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21"/>
        <w:gridCol w:w="1121"/>
        <w:gridCol w:w="1121"/>
        <w:gridCol w:w="1121"/>
        <w:gridCol w:w="1121"/>
        <w:gridCol w:w="1121"/>
        <w:gridCol w:w="1121"/>
        <w:gridCol w:w="1121"/>
        <w:gridCol w:w="1121"/>
      </w:tblGrid>
      <w:tr>
        <w:tc>
          <w:tcPr>
            <w:tcW w:type="dxa" w:w="510"/>
            <w:shd w:val="clear" w:color="auto" w:fill="E5E7EB"/>
          </w:tcPr>
          <w:p>
            <w:r>
              <w:t>#</w:t>
            </w:r>
          </w:p>
        </w:tc>
        <w:tc>
          <w:tcPr>
            <w:tcW w:type="dxa" w:w="3572"/>
            <w:shd w:val="clear" w:color="auto" w:fill="E5E7EB"/>
          </w:tcPr>
          <w:p>
            <w:r>
              <w:t>Tâche / Sous‑objectif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(prévu)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(prévu)</w:t>
            </w:r>
          </w:p>
        </w:tc>
        <w:tc>
          <w:tcPr>
            <w:tcW w:type="dxa" w:w="1247"/>
            <w:shd w:val="clear" w:color="auto" w:fill="E5E7EB"/>
          </w:tcPr>
          <w:p>
            <w:r>
              <w:t>Pause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(réel)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(réel)</w:t>
            </w:r>
          </w:p>
        </w:tc>
        <w:tc>
          <w:tcPr>
            <w:tcW w:type="dxa" w:w="1984"/>
            <w:shd w:val="clear" w:color="auto" w:fill="E5E7EB"/>
          </w:tcPr>
          <w:p>
            <w:r>
              <w:t>Statut</w:t>
            </w:r>
          </w:p>
        </w:tc>
        <w:tc>
          <w:tcPr>
            <w:tcW w:type="dxa" w:w="1361"/>
            <w:shd w:val="clear" w:color="auto" w:fill="E5E7EB"/>
          </w:tcPr>
          <w:p>
            <w:r>
              <w:t>Focus 1–5</w:t>
            </w:r>
          </w:p>
        </w:tc>
      </w:tr>
      <w:tr>
        <w:tc>
          <w:tcPr>
            <w:tcW w:type="dxa" w:w="510"/>
          </w:tcPr>
          <w:p>
            <w:r>
              <w:t>1</w:t>
            </w:r>
          </w:p>
        </w:tc>
        <w:tc>
          <w:tcPr>
            <w:tcW w:type="dxa" w:w="3572"/>
          </w:tcPr>
          <w:p>
            <w:r>
              <w:t>Qualification 15 contacts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09:24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  <w:tr>
        <w:tc>
          <w:tcPr>
            <w:tcW w:type="dxa" w:w="510"/>
          </w:tcPr>
          <w:p>
            <w:r>
              <w:t>2</w:t>
            </w:r>
          </w:p>
        </w:tc>
        <w:tc>
          <w:tcPr>
            <w:tcW w:type="dxa" w:w="3572"/>
          </w:tcPr>
          <w:p>
            <w:r>
              <w:t>5 messages personnalisés</w:t>
            </w:r>
          </w:p>
        </w:tc>
        <w:tc>
          <w:tcPr>
            <w:tcW w:type="dxa" w:w="1474"/>
          </w:tcPr>
          <w:p>
            <w:r>
              <w:t>09:30</w:t>
            </w:r>
          </w:p>
        </w:tc>
        <w:tc>
          <w:tcPr>
            <w:tcW w:type="dxa" w:w="1474"/>
          </w:tcPr>
          <w:p>
            <w:r>
              <w:t>09:55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09:31</w:t>
            </w:r>
          </w:p>
        </w:tc>
        <w:tc>
          <w:tcPr>
            <w:tcW w:type="dxa" w:w="1474"/>
          </w:tcPr>
          <w:p>
            <w:r>
              <w:t>09:56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  <w:tr>
        <w:tc>
          <w:tcPr>
            <w:tcW w:type="dxa" w:w="510"/>
          </w:tcPr>
          <w:p>
            <w:r>
              <w:t>3</w:t>
            </w:r>
          </w:p>
        </w:tc>
        <w:tc>
          <w:tcPr>
            <w:tcW w:type="dxa" w:w="3572"/>
          </w:tcPr>
          <w:p>
            <w:r>
              <w:t>+5 (A/B objets)</w:t>
            </w:r>
          </w:p>
        </w:tc>
        <w:tc>
          <w:tcPr>
            <w:tcW w:type="dxa" w:w="1474"/>
          </w:tcPr>
          <w:p>
            <w:r>
              <w:t>10:00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10:01</w:t>
            </w:r>
          </w:p>
        </w:tc>
        <w:tc>
          <w:tcPr>
            <w:tcW w:type="dxa" w:w="1474"/>
          </w:tcPr>
          <w:p>
            <w:r>
              <w:t>10:26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4</w:t>
            </w:r>
          </w:p>
        </w:tc>
        <w:tc>
          <w:tcPr>
            <w:tcW w:type="dxa" w:w="3572"/>
          </w:tcPr>
          <w:p>
            <w:r>
              <w:t>Relances (créneaux + scripts)</w:t>
            </w:r>
          </w:p>
        </w:tc>
        <w:tc>
          <w:tcPr>
            <w:tcW w:type="dxa" w:w="1474"/>
          </w:tcPr>
          <w:p>
            <w:r>
              <w:t>10:30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1247"/>
          </w:tcPr>
          <w:p>
            <w:r>
              <w:t>15</w:t>
            </w:r>
          </w:p>
        </w:tc>
        <w:tc>
          <w:tcPr>
            <w:tcW w:type="dxa" w:w="1474"/>
          </w:tcPr>
          <w:p>
            <w:r>
              <w:t>10:33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Journal des distractions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247"/>
            <w:shd w:val="clear" w:color="auto" w:fill="E5E7EB"/>
          </w:tcPr>
          <w:p>
            <w:r>
              <w:t>Heure</w:t>
            </w:r>
          </w:p>
        </w:tc>
        <w:tc>
          <w:tcPr>
            <w:tcW w:type="dxa" w:w="2494"/>
            <w:shd w:val="clear" w:color="auto" w:fill="E5E7EB"/>
          </w:tcPr>
          <w:p>
            <w:r>
              <w:t>Source</w:t>
            </w:r>
          </w:p>
        </w:tc>
        <w:tc>
          <w:tcPr>
            <w:tcW w:type="dxa" w:w="4876"/>
            <w:shd w:val="clear" w:color="auto" w:fill="E5E7EB"/>
          </w:tcPr>
          <w:p>
            <w:r>
              <w:t>Description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Durée (min)</w:t>
            </w:r>
          </w:p>
        </w:tc>
        <w:tc>
          <w:tcPr>
            <w:tcW w:type="dxa" w:w="2381"/>
            <w:shd w:val="clear" w:color="auto" w:fill="E5E7EB"/>
          </w:tcPr>
          <w:p>
            <w:r>
              <w:t>Action immédiate</w:t>
            </w:r>
          </w:p>
        </w:tc>
      </w:tr>
      <w:tr>
        <w:tc>
          <w:tcPr>
            <w:tcW w:type="dxa" w:w="1247"/>
          </w:tcPr>
          <w:p>
            <w:r>
              <w:t>09:42</w:t>
            </w:r>
          </w:p>
        </w:tc>
        <w:tc>
          <w:tcPr>
            <w:tcW w:type="dxa" w:w="2494"/>
          </w:tcPr>
          <w:p>
            <w:r>
              <w:t>Appel entrant</w:t>
            </w:r>
          </w:p>
        </w:tc>
        <w:tc>
          <w:tcPr>
            <w:tcW w:type="dxa" w:w="4876"/>
          </w:tcPr>
          <w:p>
            <w:r>
              <w:t>Demande d’info non prioritaire</w:t>
            </w:r>
          </w:p>
        </w:tc>
        <w:tc>
          <w:tcPr>
            <w:tcW w:type="dxa" w:w="1587"/>
          </w:tcPr>
          <w:p>
            <w:r>
              <w:t>4</w:t>
            </w:r>
          </w:p>
        </w:tc>
        <w:tc>
          <w:tcPr>
            <w:tcW w:type="dxa" w:w="2381"/>
          </w:tcPr>
          <w:p>
            <w:r>
              <w:t>Rappeler après 11:15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Bilan &amp; KPI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2154"/>
            <w:shd w:val="clear" w:color="auto" w:fill="E5E7EB"/>
          </w:tcPr>
          <w:p>
            <w:r>
              <w:t>Planifiés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Terminés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Temps productif (min)</w:t>
            </w:r>
          </w:p>
        </w:tc>
        <w:tc>
          <w:tcPr>
            <w:tcW w:type="dxa" w:w="1474"/>
          </w:tcPr>
          <w:p>
            <w:r>
              <w:t>100</w:t>
            </w:r>
          </w:p>
        </w:tc>
        <w:tc>
          <w:tcPr>
            <w:tcW w:type="dxa" w:w="2381"/>
            <w:shd w:val="clear" w:color="auto" w:fill="E5E7EB"/>
          </w:tcPr>
          <w:p>
            <w:r>
              <w:t>Distractions (min)</w:t>
            </w:r>
          </w:p>
        </w:tc>
        <w:tc>
          <w:tcPr>
            <w:tcW w:type="dxa" w:w="1474"/>
          </w:tcPr>
          <w:p>
            <w:r>
              <w:t>4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Respect du plan (± min)</w:t>
            </w:r>
          </w:p>
        </w:tc>
        <w:tc>
          <w:tcPr>
            <w:tcW w:type="dxa" w:w="1474"/>
          </w:tcPr>
          <w:p>
            <w:r>
              <w:t>75 %</w:t>
            </w:r>
          </w:p>
        </w:tc>
        <w:tc>
          <w:tcPr>
            <w:tcW w:type="dxa" w:w="2381"/>
            <w:shd w:val="clear" w:color="auto" w:fill="E5E7EB"/>
          </w:tcPr>
          <w:p>
            <w:r>
              <w:t>Focus moyen (1–5)</w:t>
            </w:r>
          </w:p>
        </w:tc>
        <w:tc>
          <w:tcPr>
            <w:tcW w:type="dxa" w:w="1474"/>
          </w:tcPr>
          <w:p>
            <w:r>
              <w:t>3,3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planifiée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réelle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</w:tcPr>
          <w:p>
            <w:r>
              <w:t>Lot compact, scripts mutualisés, cadence tenue.</w:t>
            </w:r>
          </w:p>
        </w:tc>
      </w:tr>
      <w:tr>
        <w:tc>
          <w:tcPr>
            <w:tcW w:type="dxa" w:w="10092"/>
          </w:tcPr>
          <w:p>
            <w:r>
              <w:t>Bloquer messagerie après 11:15 ; gabarits d’emails pour stabiliser P2/P3.</w:t>
            </w:r>
          </w:p>
        </w:tc>
      </w:tr>
    </w:tbl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