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A4 — Cas pratique (Chimie)</w:t>
            </w:r>
            <w:r>
              <w:br/>
            </w:r>
            <w:r>
              <w:rPr>
                <w:color w:val="EBFFF5"/>
                <w:sz w:val="20"/>
              </w:rPr>
              <w:t>Conductivité d’une solution ionique — version qualitative, sans formules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381"/>
            <w:shd w:val="clear" w:color="auto" w:fill="E5E7EB"/>
          </w:tcPr>
          <w:p>
            <w:r>
              <w:t>Module / UE</w:t>
            </w:r>
          </w:p>
        </w:tc>
        <w:tc>
          <w:tcPr>
            <w:tcW w:type="dxa" w:w="3175"/>
            <w:shd w:val="clear" w:color="auto" w:fill="E5E7EB"/>
          </w:tcPr>
          <w:p>
            <w:r>
              <w:t>Chapitre / Thème</w:t>
            </w:r>
          </w:p>
        </w:tc>
        <w:tc>
          <w:tcPr>
            <w:tcW w:type="dxa" w:w="2381"/>
            <w:shd w:val="clear" w:color="auto" w:fill="E5E7EB"/>
          </w:tcPr>
          <w:p>
            <w:r>
              <w:t>Enseignant</w:t>
            </w:r>
          </w:p>
        </w:tc>
        <w:tc>
          <w:tcPr>
            <w:tcW w:type="dxa" w:w="1814"/>
            <w:shd w:val="clear" w:color="auto" w:fill="E5E7EB"/>
          </w:tcPr>
          <w:p>
            <w:r>
              <w:t>Semestre</w:t>
            </w:r>
          </w:p>
        </w:tc>
        <w:tc>
          <w:tcPr>
            <w:tcW w:type="dxa" w:w="2268"/>
            <w:shd w:val="clear" w:color="auto" w:fill="E5E7EB"/>
          </w:tcPr>
          <w:p>
            <w:r>
              <w:t>Date</w:t>
            </w:r>
          </w:p>
        </w:tc>
      </w:tr>
      <w:tr>
        <w:tc>
          <w:tcPr>
            <w:tcW w:type="dxa" w:w="2381"/>
          </w:tcPr>
          <w:p>
            <w:r/>
          </w:p>
        </w:tc>
        <w:tc>
          <w:tcPr>
            <w:tcW w:type="dxa" w:w="3175"/>
          </w:tcPr>
          <w:p>
            <w:r/>
          </w:p>
        </w:tc>
        <w:tc>
          <w:tcPr>
            <w:tcW w:type="dxa" w:w="2381"/>
          </w:tcPr>
          <w:p>
            <w:r/>
          </w:p>
        </w:tc>
        <w:tc>
          <w:tcPr>
            <w:tcW w:type="dxa" w:w="1814"/>
          </w:tcPr>
          <w:p>
            <w:r/>
          </w:p>
        </w:tc>
        <w:tc>
          <w:tcPr>
            <w:tcW w:type="dxa" w:w="2268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Contexte / Énoncé</w:t>
            </w:r>
          </w:p>
        </w:tc>
      </w:tr>
    </w:tbl>
    <w:p>
      <w:r>
        <w:t>Tester l’influence de la concentration d’un sel dissous sur la conductivité, en observant la luminosité d’une petite ampoule/LED (montage simple).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Objectifs d’apprentissage</w:t>
            </w:r>
          </w:p>
        </w:tc>
      </w:tr>
    </w:tbl>
    <w:p>
      <w:pPr>
        <w:pStyle w:val="ListBullet"/>
        <w:spacing w:after="0"/>
      </w:pPr>
      <w:r>
        <w:t>Relier présence d’ions en solution à la capacité de conduire.</w:t>
      </w:r>
    </w:p>
    <w:p>
      <w:pPr>
        <w:pStyle w:val="ListBullet"/>
        <w:spacing w:after="0"/>
      </w:pPr>
      <w:r>
        <w:t>Mettre en place un protocole comparatif (faible / moyen / élevé).</w:t>
      </w:r>
    </w:p>
    <w:p>
      <w:pPr>
        <w:pStyle w:val="ListBullet"/>
        <w:spacing w:after="0"/>
      </w:pPr>
      <w:r>
        <w:t>Discuter contrôles et limites du montage sans chiffrage.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Prérequis (rappels)</w:t>
            </w:r>
          </w:p>
        </w:tc>
      </w:tr>
    </w:tbl>
    <w:p>
      <w:pPr>
        <w:pStyle w:val="ListBullet"/>
        <w:spacing w:after="0"/>
      </w:pPr>
      <w:r>
        <w:t>Soluté/solvant, dissociation ionique (intuition).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Matériel</w:t>
            </w:r>
          </w:p>
        </w:tc>
      </w:tr>
    </w:tbl>
    <w:p>
      <w:pPr>
        <w:pStyle w:val="ListBullet"/>
        <w:spacing w:after="0"/>
      </w:pPr>
      <w:r>
        <w:t>Béchers ×3, sel de table, eau distillée, cuillère doseuse.</w:t>
      </w:r>
    </w:p>
    <w:p>
      <w:pPr>
        <w:pStyle w:val="ListBullet"/>
        <w:spacing w:after="0"/>
      </w:pPr>
      <w:r>
        <w:t>Montage simple : pile + LED/ampoule + électrodes.</w:t>
      </w:r>
    </w:p>
    <w:p>
      <w:pPr>
        <w:pStyle w:val="ListBullet"/>
        <w:spacing w:after="0"/>
      </w:pPr>
      <w:r>
        <w:t>Gants, lunettes de sécurité.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Protocole (étapes)</w:t>
            </w:r>
          </w:p>
        </w:tc>
      </w:tr>
    </w:tbl>
    <w:p>
      <w:pPr>
        <w:pStyle w:val="ListNumber"/>
        <w:spacing w:after="0"/>
      </w:pPr>
      <w:r>
        <w:t>Préparer 3 solutions de même volume : faible, moyenne, élevée (dosage visuel à la cuillère).</w:t>
      </w:r>
    </w:p>
    <w:p>
      <w:pPr>
        <w:pStyle w:val="ListNumber"/>
        <w:spacing w:after="0"/>
      </w:pPr>
      <w:r>
        <w:t>Rincer/essuyer les électrodes entre les mesures.</w:t>
      </w:r>
    </w:p>
    <w:p>
      <w:pPr>
        <w:pStyle w:val="ListNumber"/>
        <w:spacing w:after="0"/>
      </w:pPr>
      <w:r>
        <w:t>Plonger les électrodes, observer la luminosité (faible / moyenne / forte).</w:t>
      </w:r>
    </w:p>
    <w:p>
      <w:pPr>
        <w:pStyle w:val="ListNumber"/>
        <w:spacing w:after="0"/>
      </w:pPr>
      <w:r>
        <w:t>Tester l’eau distillée seule (témoin).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Collecte des données (qualitative)</w:t>
            </w:r>
          </w:p>
        </w:tc>
      </w:tr>
    </w:tbl>
    <w:p>
      <w:pPr>
        <w:pStyle w:val="ListBullet"/>
        <w:spacing w:after="0"/>
      </w:pPr>
      <w:r>
        <w:t>Ordre croissant de luminosité par solution.</w:t>
      </w:r>
    </w:p>
    <w:p>
      <w:pPr>
        <w:pStyle w:val="ListBullet"/>
        <w:spacing w:after="0"/>
      </w:pPr>
      <w:r>
        <w:t>Présence de bulles, échauffement, stabilité du signal.</w:t>
      </w:r>
    </w:p>
    <w:p>
      <w:pPr>
        <w:pStyle w:val="ListBullet"/>
        <w:spacing w:after="0"/>
      </w:pPr>
      <w:r>
        <w:t>Reproductibilité (répéter 2 fois).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Interprétation : questions-guides</w:t>
            </w:r>
          </w:p>
        </w:tc>
      </w:tr>
    </w:tbl>
    <w:p>
      <w:pPr>
        <w:pStyle w:val="ListBullet"/>
        <w:spacing w:after="0"/>
      </w:pPr>
      <w:r>
        <w:t>Pourquoi l’eau distillée conduit-elle peu ?</w:t>
      </w:r>
    </w:p>
    <w:p>
      <w:pPr>
        <w:pStyle w:val="ListBullet"/>
        <w:spacing w:after="0"/>
      </w:pPr>
      <w:r>
        <w:t>Comment la quantité d’ions peut-elle jouer sur la conduction ?</w:t>
      </w:r>
    </w:p>
    <w:p>
      <w:pPr>
        <w:pStyle w:val="ListBullet"/>
        <w:spacing w:after="0"/>
      </w:pPr>
      <w:r>
        <w:t>Quelles limitations du montage peuvent fausser l’observation 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Erreurs fréquentes &amp; parades</w:t>
            </w:r>
          </w:p>
        </w:tc>
      </w:tr>
    </w:tbl>
    <w:p>
      <w:pPr>
        <w:pStyle w:val="ListBullet"/>
        <w:spacing w:after="0"/>
      </w:pPr>
      <w:r>
        <w:t>Électrodes encrassées → rincer/essuyer systématiquement.</w:t>
      </w:r>
    </w:p>
    <w:p>
      <w:pPr>
        <w:pStyle w:val="ListBullet"/>
        <w:spacing w:after="0"/>
      </w:pPr>
      <w:r>
        <w:t>Dosage incohérent → standardiser la cuillère rase comme unité pratique.</w:t>
      </w:r>
    </w:p>
    <w:p>
      <w:pPr>
        <w:pStyle w:val="ListBullet"/>
        <w:spacing w:after="0"/>
      </w:pPr>
      <w:r>
        <w:t>Contamination croisée → baguette/pipette dédiée par solution.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Sécurité</w:t>
            </w:r>
          </w:p>
        </w:tc>
      </w:tr>
    </w:tbl>
    <w:p>
      <w:pPr>
        <w:pStyle w:val="ListBullet"/>
        <w:spacing w:after="0"/>
      </w:pPr>
      <w:r>
        <w:t>Lunettes et gants obligatoires.</w:t>
      </w:r>
    </w:p>
    <w:p>
      <w:pPr>
        <w:pStyle w:val="ListBullet"/>
        <w:spacing w:after="0"/>
      </w:pPr>
      <w:r>
        <w:t>Débrancher la pile hors mesure.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Critères de réussite (checklist)</w:t>
            </w:r>
          </w:p>
        </w:tc>
      </w:tr>
    </w:tbl>
    <w:p>
      <w:pPr>
        <w:pStyle w:val="ListBullet"/>
        <w:spacing w:after="0"/>
      </w:pPr>
      <w:r>
        <w:t>☐ Témoin (eau distillée) testé.</w:t>
      </w:r>
    </w:p>
    <w:p>
      <w:pPr>
        <w:pStyle w:val="ListBullet"/>
        <w:spacing w:after="0"/>
      </w:pPr>
      <w:r>
        <w:t>☐ Ordre de luminosité cohérent : faible → moyen → élevé.</w:t>
      </w:r>
    </w:p>
    <w:p>
      <w:pPr>
        <w:pStyle w:val="ListBullet"/>
        <w:spacing w:after="0"/>
      </w:pPr>
      <w:r>
        <w:t>☐ Compte-rendu causal clair (ions ↔ conduction).</w:t>
      </w:r>
    </w:p>
    <w:p>
      <w:pPr>
        <w:pStyle w:val="ListBullet"/>
        <w:spacing w:after="0"/>
      </w:pPr>
      <w:r>
        <w:t>☐ Limites du montage signalées.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Extensions</w:t>
            </w:r>
          </w:p>
        </w:tc>
      </w:tr>
    </w:tbl>
    <w:p>
      <w:pPr>
        <w:pStyle w:val="ListBullet"/>
        <w:spacing w:after="0"/>
      </w:pPr>
      <w:r>
        <w:t>Comparer sucre dissous (non ionique) vs sel (ionique).</w:t>
      </w:r>
    </w:p>
    <w:p>
      <w:pPr>
        <w:pStyle w:val="ListBullet"/>
        <w:spacing w:after="0"/>
      </w:pPr>
      <w:r>
        <w:t>Tester température ambiante vs fraîche, décrire l’effet.</w:t>
      </w:r>
    </w:p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