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A4 — Cas pratique (Biologie)</w:t>
            </w:r>
            <w:r>
              <w:br/>
            </w:r>
            <w:r>
              <w:rPr>
                <w:color w:val="EBFFF5"/>
                <w:sz w:val="20"/>
              </w:rPr>
              <w:t>Osmose sur tissus végétaux — version qualitative, sans formules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381"/>
            <w:shd w:val="clear" w:color="auto" w:fill="E5E7EB"/>
          </w:tcPr>
          <w:p>
            <w:r>
              <w:t>Module / UE</w:t>
            </w:r>
          </w:p>
        </w:tc>
        <w:tc>
          <w:tcPr>
            <w:tcW w:type="dxa" w:w="3175"/>
            <w:shd w:val="clear" w:color="auto" w:fill="E5E7EB"/>
          </w:tcPr>
          <w:p>
            <w:r>
              <w:t>Chapitre / Thème</w:t>
            </w:r>
          </w:p>
        </w:tc>
        <w:tc>
          <w:tcPr>
            <w:tcW w:type="dxa" w:w="2381"/>
            <w:shd w:val="clear" w:color="auto" w:fill="E5E7EB"/>
          </w:tcPr>
          <w:p>
            <w:r>
              <w:t>Enseignant</w:t>
            </w:r>
          </w:p>
        </w:tc>
        <w:tc>
          <w:tcPr>
            <w:tcW w:type="dxa" w:w="1814"/>
            <w:shd w:val="clear" w:color="auto" w:fill="E5E7EB"/>
          </w:tcPr>
          <w:p>
            <w:r>
              <w:t>Semestre</w:t>
            </w:r>
          </w:p>
        </w:tc>
        <w:tc>
          <w:tcPr>
            <w:tcW w:type="dxa" w:w="2268"/>
            <w:shd w:val="clear" w:color="auto" w:fill="E5E7EB"/>
          </w:tcPr>
          <w:p>
            <w:r>
              <w:t>Date</w:t>
            </w:r>
          </w:p>
        </w:tc>
      </w:tr>
      <w:tr>
        <w:tc>
          <w:tcPr>
            <w:tcW w:type="dxa" w:w="2381"/>
          </w:tcPr>
          <w:p>
            <w:r/>
          </w:p>
        </w:tc>
        <w:tc>
          <w:tcPr>
            <w:tcW w:type="dxa" w:w="3175"/>
          </w:tcPr>
          <w:p>
            <w:r/>
          </w:p>
        </w:tc>
        <w:tc>
          <w:tcPr>
            <w:tcW w:type="dxa" w:w="2381"/>
          </w:tcPr>
          <w:p>
            <w:r/>
          </w:p>
        </w:tc>
        <w:tc>
          <w:tcPr>
            <w:tcW w:type="dxa" w:w="1814"/>
          </w:tcPr>
          <w:p>
            <w:r/>
          </w:p>
        </w:tc>
        <w:tc>
          <w:tcPr>
            <w:tcW w:type="dxa" w:w="2268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Contexte / Énoncé</w:t>
            </w:r>
          </w:p>
        </w:tc>
      </w:tr>
    </w:tbl>
    <w:p>
      <w:r>
        <w:t>Observer l’osmose en plaçant des bâtonnets de pomme de terre dans des bains d’eau pure et d’eau salée, et décrire les changements visibles (texture, aspect, poids perçu).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Objectifs d’apprentissage</w:t>
            </w:r>
          </w:p>
        </w:tc>
      </w:tr>
    </w:tbl>
    <w:p>
      <w:pPr>
        <w:pStyle w:val="ListBullet"/>
        <w:spacing w:after="0"/>
      </w:pPr>
      <w:r>
        <w:t>Décrire qualitativement un flux d’eau à travers une membrane.</w:t>
      </w:r>
    </w:p>
    <w:p>
      <w:pPr>
        <w:pStyle w:val="ListBullet"/>
        <w:spacing w:after="0"/>
      </w:pPr>
      <w:r>
        <w:t>Différencier milieu hypotonique / hypertonique par observation.</w:t>
      </w:r>
    </w:p>
    <w:p>
      <w:pPr>
        <w:pStyle w:val="ListBullet"/>
        <w:spacing w:after="0"/>
      </w:pPr>
      <w:r>
        <w:t>Lister les conditions de contrôle (temps, taille, volume).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Prérequis (rappels)</w:t>
            </w:r>
          </w:p>
        </w:tc>
      </w:tr>
    </w:tbl>
    <w:p>
      <w:pPr>
        <w:pStyle w:val="ListBullet"/>
        <w:spacing w:after="0"/>
      </w:pPr>
      <w:r>
        <w:t>Notion de membrane semi‑perméable et de gradient de concentration.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Matériel</w:t>
            </w:r>
          </w:p>
        </w:tc>
      </w:tr>
    </w:tbl>
    <w:p>
      <w:pPr>
        <w:pStyle w:val="ListBullet"/>
        <w:spacing w:after="0"/>
      </w:pPr>
      <w:r>
        <w:t>Bâtonnets de pomme de terre (tailles similaires).</w:t>
      </w:r>
    </w:p>
    <w:p>
      <w:pPr>
        <w:pStyle w:val="ListBullet"/>
        <w:spacing w:after="0"/>
      </w:pPr>
      <w:r>
        <w:t>Deux gobelets, eau du robinet, eau salée (cuillère de sel).</w:t>
      </w:r>
    </w:p>
    <w:p>
      <w:pPr>
        <w:pStyle w:val="ListBullet"/>
        <w:spacing w:after="0"/>
      </w:pPr>
      <w:r>
        <w:t>Papier absorbant, minuteur.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Protocole (étapes)</w:t>
            </w:r>
          </w:p>
        </w:tc>
      </w:tr>
    </w:tbl>
    <w:p>
      <w:pPr>
        <w:pStyle w:val="ListNumber"/>
        <w:spacing w:after="0"/>
      </w:pPr>
      <w:r>
        <w:t>Tailler 6 bâtonnets semblables (longueur/épaisseur proches).</w:t>
      </w:r>
    </w:p>
    <w:p>
      <w:pPr>
        <w:pStyle w:val="ListNumber"/>
        <w:spacing w:after="0"/>
      </w:pPr>
      <w:r>
        <w:t>Remplir un gobelet d’eau claire (A) et un d’eau salée (B).</w:t>
      </w:r>
    </w:p>
    <w:p>
      <w:pPr>
        <w:pStyle w:val="ListNumber"/>
        <w:spacing w:after="0"/>
      </w:pPr>
      <w:r>
        <w:t>Placer 3 bâtonnets dans A et 3 dans B — attendre 15–20 min.</w:t>
      </w:r>
    </w:p>
    <w:p>
      <w:pPr>
        <w:pStyle w:val="ListNumber"/>
        <w:spacing w:after="0"/>
      </w:pPr>
      <w:r>
        <w:t>Sortir, éponger brièvement, palper la texture et observer l’aspect.</w:t>
      </w:r>
    </w:p>
    <w:p>
      <w:pPr>
        <w:pStyle w:val="ListNumber"/>
        <w:spacing w:after="0"/>
      </w:pPr>
      <w:r>
        <w:t>Classer les échantillons selon gain/perte apparente d’eau.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Collecte des données (qualitative)</w:t>
            </w:r>
          </w:p>
        </w:tc>
      </w:tr>
    </w:tbl>
    <w:p>
      <w:pPr>
        <w:pStyle w:val="ListBullet"/>
        <w:spacing w:after="0"/>
      </w:pPr>
      <w:r>
        <w:t>Texture : plus ferme ou plus molle.</w:t>
      </w:r>
    </w:p>
    <w:p>
      <w:pPr>
        <w:pStyle w:val="ListBullet"/>
        <w:spacing w:after="0"/>
      </w:pPr>
      <w:r>
        <w:t>Aspect : gonflé / rétréci ; brillant (eau en surface).</w:t>
      </w:r>
    </w:p>
    <w:p>
      <w:pPr>
        <w:pStyle w:val="ListBullet"/>
        <w:spacing w:after="0"/>
      </w:pPr>
      <w:r>
        <w:t>Poids perçu au toucher : plus lourd / plus léger (qualitatif).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Interprétation : questions-guides</w:t>
            </w:r>
          </w:p>
        </w:tc>
      </w:tr>
    </w:tbl>
    <w:p>
      <w:pPr>
        <w:pStyle w:val="ListBullet"/>
        <w:spacing w:after="0"/>
      </w:pPr>
      <w:r>
        <w:t>Dans quel bain les bâtonnets semblent-ils absorber de l’eau ?</w:t>
      </w:r>
    </w:p>
    <w:p>
      <w:pPr>
        <w:pStyle w:val="ListBullet"/>
        <w:spacing w:after="0"/>
      </w:pPr>
      <w:r>
        <w:t>Dans quel bain semblent-ils en perdre ?</w:t>
      </w:r>
    </w:p>
    <w:p>
      <w:pPr>
        <w:pStyle w:val="ListBullet"/>
        <w:spacing w:after="0"/>
      </w:pPr>
      <w:r>
        <w:t>Comment le gradient explique-t-il ces observations ?</w:t>
      </w:r>
    </w:p>
    <w:p>
      <w:pPr>
        <w:pStyle w:val="ListBullet"/>
        <w:spacing w:after="0"/>
      </w:pPr>
      <w:r>
        <w:t>Quelles conditions pourraient inverser l’effet 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Erreurs fréquentes &amp; parades</w:t>
            </w:r>
          </w:p>
        </w:tc>
      </w:tr>
    </w:tbl>
    <w:p>
      <w:pPr>
        <w:pStyle w:val="ListBullet"/>
        <w:spacing w:after="0"/>
      </w:pPr>
      <w:r>
        <w:t>Bâtonnets de tailles différentes → standardiser la coupe.</w:t>
      </w:r>
    </w:p>
    <w:p>
      <w:pPr>
        <w:pStyle w:val="ListBullet"/>
        <w:spacing w:after="0"/>
      </w:pPr>
      <w:r>
        <w:t>Temps d’immersion inégal → utiliser un seul minuteur.</w:t>
      </w:r>
    </w:p>
    <w:p>
      <w:pPr>
        <w:pStyle w:val="ListBullet"/>
        <w:spacing w:after="0"/>
      </w:pPr>
      <w:r>
        <w:t>Échantillons mal essorés → éponger rapidement et uniformément avant l’observation.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Critères de réussite (checklist)</w:t>
            </w:r>
          </w:p>
        </w:tc>
      </w:tr>
    </w:tbl>
    <w:p>
      <w:pPr>
        <w:pStyle w:val="ListBullet"/>
        <w:spacing w:after="0"/>
      </w:pPr>
      <w:r>
        <w:t>☐ Contraste net entre bains A et B.</w:t>
      </w:r>
    </w:p>
    <w:p>
      <w:pPr>
        <w:pStyle w:val="ListBullet"/>
        <w:spacing w:after="0"/>
      </w:pPr>
      <w:r>
        <w:t>☐ Observations cohérentes sur ≥ 2 bâtonnets par condition.</w:t>
      </w:r>
    </w:p>
    <w:p>
      <w:pPr>
        <w:pStyle w:val="ListBullet"/>
        <w:spacing w:after="0"/>
      </w:pPr>
      <w:r>
        <w:t>☐ Explication qualitative correcte (flux d’eau ↔ gradient).</w:t>
      </w:r>
    </w:p>
    <w:p>
      <w:pPr>
        <w:pStyle w:val="ListBullet"/>
        <w:spacing w:after="0"/>
      </w:pPr>
      <w:r>
        <w:t>☐ Variables de contrôle listées (taille, temps, volume).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Extensions</w:t>
            </w:r>
          </w:p>
        </w:tc>
      </w:tr>
    </w:tbl>
    <w:p>
      <w:pPr>
        <w:pStyle w:val="ListBullet"/>
        <w:spacing w:after="0"/>
      </w:pPr>
      <w:r>
        <w:t>Ajouter un 3ᵉ bain (eau sucrée) et comparer.</w:t>
      </w:r>
    </w:p>
    <w:p>
      <w:pPr>
        <w:pStyle w:val="ListBullet"/>
        <w:spacing w:after="0"/>
      </w:pPr>
      <w:r>
        <w:t>Tester un temps plus long (40–60 min) et décrire l’évolution.</w:t>
      </w:r>
    </w:p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