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1F4E79"/>
          </w:tcPr>
          <w:p>
            <w:r>
              <w:rPr>
                <w:b/>
                <w:color w:val="FFFFFF"/>
                <w:sz w:val="44"/>
              </w:rPr>
              <w:t>Feuille de route — Roadmap circulaire</w:t>
            </w:r>
          </w:p>
        </w:tc>
        <w:tc>
          <w:tcPr>
            <w:tcW w:type="dxa" w:w="5270"/>
            <w:shd w:val="clear" w:color="auto" w:fill="70AD47"/>
          </w:tcPr>
          <w:p>
            <w:pPr>
              <w:jc w:val="right"/>
            </w:pPr>
            <w:r>
              <w:rPr>
                <w:color w:val="FFFFFF"/>
                <w:sz w:val="24"/>
              </w:rPr>
              <w:t>A4 portrait (cycles &amp; releases)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Projet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Fin</w:t>
            </w:r>
          </w:p>
        </w:tc>
      </w:tr>
      <w:tr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</w:tr>
    </w:tbl>
    <w:p/>
    <w:p>
      <w:pPr>
        <w:pStyle w:val="Heading2"/>
      </w:pPr>
      <w:r>
        <w:t>Cycle / Release — vue circulaire</w:t>
      </w:r>
    </w:p>
    <w:p>
      <w:r>
        <w:t>Servez-vous de la roue ci-dessous pour séquencer un cycle en 6 étapes ; complétez la table des événements et jalons.</w:t>
      </w:r>
    </w:p>
    <w:p>
      <w:r>
        <w:drawing>
          <wp:inline xmlns:a="http://schemas.openxmlformats.org/drawingml/2006/main" xmlns:pic="http://schemas.openxmlformats.org/drawingml/2006/picture">
            <wp:extent cx="4389120" cy="390341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roadmap_circulair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390341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Jalons par étape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1F4E79"/>
          </w:tcPr>
          <w:p>
            <w:r>
              <w:rPr>
                <w:b/>
                <w:color w:val="FFFFFF"/>
              </w:rPr>
              <w:t>Étape</w:t>
            </w:r>
          </w:p>
        </w:tc>
        <w:tc>
          <w:tcPr>
            <w:tcW w:type="dxa" w:w="2635"/>
            <w:shd w:val="clear" w:color="auto" w:fill="1F4E79"/>
          </w:tcPr>
          <w:p>
            <w:r>
              <w:rPr>
                <w:b/>
                <w:color w:val="FFFFFF"/>
              </w:rPr>
              <w:t>Jalon/Événement</w:t>
            </w:r>
          </w:p>
        </w:tc>
        <w:tc>
          <w:tcPr>
            <w:tcW w:type="dxa" w:w="2635"/>
            <w:shd w:val="clear" w:color="auto" w:fill="1F4E79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635"/>
            <w:shd w:val="clear" w:color="auto" w:fill="1F4E79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</w:tr>
      <w:tr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</w:tr>
      <w:tr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</w:tr>
      <w:tr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</w:tr>
      <w:tr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</w:tr>
      <w:tr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  <w:tc>
          <w:tcPr>
            <w:tcW w:type="dxa" w:w="2635"/>
          </w:tcPr>
          <w:p>
            <w:r>
              <w:t>—</w:t>
            </w:r>
          </w:p>
        </w:tc>
      </w:tr>
    </w:tbl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Plan d’action priorisé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Action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Impact attendu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Ressources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Propriétaire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Statut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</w:tbl>
    <w:p/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10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 • Pack VISUELS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