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val="clear" w:fill="FFECB3"/>
          </w:tcPr>
          <w:p>
            <w:pPr>
              <w:jc w:val="center"/>
            </w:pPr>
            <w:r>
              <w:rPr>
                <w:b/>
                <w:sz w:val="40"/>
              </w:rPr>
              <w:t>ÉCHAFAUDAGE ROULANT — CONSIGNES DE SÉCURITÉ (Affiche A4)</w:t>
            </w:r>
          </w:p>
        </w:tc>
      </w:tr>
    </w:tbl>
    <w:p>
      <w:pPr>
        <w:jc w:val="center"/>
      </w:pPr>
      <w:r>
        <w:t>À afficher près de la zone d’utilisation. Adaptées au site.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val="clear" w:fill="FFE082"/>
          </w:tcPr>
          <w:p>
            <w:pPr>
              <w:jc w:val="left"/>
            </w:pPr>
            <w:r>
              <w:rPr>
                <w:b/>
                <w:sz w:val="26"/>
              </w:rPr>
              <w:t>Avant montage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single" w:sz="12" w:color="C79A00"/>
          <w:left w:val="single" w:sz="12" w:color="C79A00"/>
          <w:bottom w:val="single" w:sz="12" w:color="C79A00"/>
          <w:right w:val="single" w:sz="12" w:color="C79A00"/>
          <w:insideH w:val="single" w:sz="6" w:color="C79A00"/>
          <w:insideV w:val="single" w:sz="6" w:color="C79A00"/>
        </w:tblBorders>
      </w:tblPr>
      <w:tblGrid>
        <w:gridCol w:w="10312"/>
      </w:tblGrid>
      <w:tr>
        <w:tc>
          <w:tcPr>
            <w:tcW w:type="dxa" w:w="10312"/>
            <w:top w:w="100" w:type="dxa"/>
            <w:start w:w="120" w:type="dxa"/>
            <w:bottom w:w="100" w:type="dxa"/>
            <w:end w:w="120" w:type="dxa"/>
          </w:tcPr>
          <w:p>
            <w:r>
              <w:rPr>
                <w:sz w:val="20"/>
              </w:rPr>
              <w:t>• Lire la notice fabricant ; utiliser uniquement des éléments compatibles.</w:t>
              <w:br/>
              <w:t>• Choisir un sol plan, résistant et dégagé ; identifier les risques électriques.</w:t>
              <w:br/>
              <w:t>• Définir la zone d’implantation et le balisage ; prévoir le matériel et les EPI.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val="clear" w:fill="FFE082"/>
          </w:tcPr>
          <w:p>
            <w:pPr>
              <w:jc w:val="left"/>
            </w:pPr>
            <w:r>
              <w:rPr>
                <w:b/>
                <w:sz w:val="26"/>
              </w:rPr>
              <w:t>Montage / modification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single" w:sz="12" w:color="C79A00"/>
          <w:left w:val="single" w:sz="12" w:color="C79A00"/>
          <w:bottom w:val="single" w:sz="12" w:color="C79A00"/>
          <w:right w:val="single" w:sz="12" w:color="C79A00"/>
          <w:insideH w:val="single" w:sz="6" w:color="C79A00"/>
          <w:insideV w:val="single" w:sz="6" w:color="C79A00"/>
        </w:tblBorders>
      </w:tblPr>
      <w:tblGrid>
        <w:gridCol w:w="10312"/>
      </w:tblGrid>
      <w:tr>
        <w:tc>
          <w:tcPr>
            <w:tcW w:type="dxa" w:w="10312"/>
            <w:top w:w="100" w:type="dxa"/>
            <w:start w:w="120" w:type="dxa"/>
            <w:bottom w:w="100" w:type="dxa"/>
            <w:end w:w="120" w:type="dxa"/>
          </w:tcPr>
          <w:p>
            <w:r>
              <w:rPr>
                <w:sz w:val="20"/>
              </w:rPr>
              <w:t>• Installer stabilisateurs/béquilles ; vérifier verticalité et stabilité.</w:t>
              <w:br/>
              <w:t>• Mettre en place planchers, garde-corps, sous-lisses, plinthes ; sécuriser les trappes.</w:t>
              <w:br/>
              <w:t>• Contrôler les roues et freins ; poser l’étiquette d’identification.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val="clear" w:fill="FFE082"/>
          </w:tcPr>
          <w:p>
            <w:pPr>
              <w:jc w:val="left"/>
            </w:pPr>
            <w:r>
              <w:rPr>
                <w:b/>
                <w:sz w:val="26"/>
              </w:rPr>
              <w:t>Avant utilisation / déplacement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single" w:sz="12" w:color="C79A00"/>
          <w:left w:val="single" w:sz="12" w:color="C79A00"/>
          <w:bottom w:val="single" w:sz="12" w:color="C79A00"/>
          <w:right w:val="single" w:sz="12" w:color="C79A00"/>
          <w:insideH w:val="single" w:sz="6" w:color="C79A00"/>
          <w:insideV w:val="single" w:sz="6" w:color="C79A00"/>
        </w:tblBorders>
      </w:tblPr>
      <w:tblGrid>
        <w:gridCol w:w="10312"/>
      </w:tblGrid>
      <w:tr>
        <w:tc>
          <w:tcPr>
            <w:tcW w:type="dxa" w:w="10312"/>
            <w:top w:w="100" w:type="dxa"/>
            <w:start w:w="120" w:type="dxa"/>
            <w:bottom w:w="100" w:type="dxa"/>
            <w:end w:w="120" w:type="dxa"/>
          </w:tcPr>
          <w:p>
            <w:r>
              <w:rPr>
                <w:sz w:val="20"/>
              </w:rPr>
              <w:t>• Vérification quotidienne : structure, planchers, garde-corps, roues, freins, stabilisateurs.</w:t>
              <w:br/>
              <w:t>• Ne pas déplacer avec des personnes ou du matériel non arrimé ; abaisser si nécessaire.</w:t>
              <w:br/>
              <w:t>• Respecter les distances électriques ; adapter à la météo (pas d’usage par vent fort).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val="clear" w:fill="FFE082"/>
          </w:tcPr>
          <w:p>
            <w:pPr>
              <w:jc w:val="left"/>
            </w:pPr>
            <w:r>
              <w:rPr>
                <w:b/>
                <w:sz w:val="26"/>
              </w:rPr>
              <w:t>Pendant utilisation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single" w:sz="12" w:color="C79A00"/>
          <w:left w:val="single" w:sz="12" w:color="C79A00"/>
          <w:bottom w:val="single" w:sz="12" w:color="C79A00"/>
          <w:right w:val="single" w:sz="12" w:color="C79A00"/>
          <w:insideH w:val="single" w:sz="6" w:color="C79A00"/>
          <w:insideV w:val="single" w:sz="6" w:color="C79A00"/>
        </w:tblBorders>
      </w:tblPr>
      <w:tblGrid>
        <w:gridCol w:w="10312"/>
      </w:tblGrid>
      <w:tr>
        <w:tc>
          <w:tcPr>
            <w:tcW w:type="dxa" w:w="10312"/>
            <w:top w:w="100" w:type="dxa"/>
            <w:start w:w="120" w:type="dxa"/>
            <w:bottom w:w="100" w:type="dxa"/>
            <w:end w:w="120" w:type="dxa"/>
          </w:tcPr>
          <w:p>
            <w:r>
              <w:rPr>
                <w:sz w:val="20"/>
              </w:rPr>
              <w:t>• Port des EPI : casque, chaussures S3 ; autres selon tâche (lunettes, gants, protection auditive).</w:t>
              <w:br/>
              <w:t>• Garder les accès libres ; ne pas surcharger ; ne pas utiliser d’échelles sur le plateau.</w:t>
              <w:br/>
              <w:t>• Maintenir la zone balisée et propre ; signaler toute anomalie et mettre hors service si doute.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val="clear" w:fill="FFE082"/>
          </w:tcPr>
          <w:p>
            <w:pPr>
              <w:jc w:val="left"/>
            </w:pPr>
            <w:r>
              <w:rPr>
                <w:b/>
                <w:sz w:val="26"/>
              </w:rPr>
              <w:t>Interdits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single" w:sz="12" w:color="C79A00"/>
          <w:left w:val="single" w:sz="12" w:color="C79A00"/>
          <w:bottom w:val="single" w:sz="12" w:color="C79A00"/>
          <w:right w:val="single" w:sz="12" w:color="C79A00"/>
          <w:insideH w:val="single" w:sz="6" w:color="C79A00"/>
          <w:insideV w:val="single" w:sz="6" w:color="C79A00"/>
        </w:tblBorders>
      </w:tblPr>
      <w:tblGrid>
        <w:gridCol w:w="10312"/>
      </w:tblGrid>
      <w:tr>
        <w:tc>
          <w:tcPr>
            <w:tcW w:type="dxa" w:w="10312"/>
            <w:top w:w="100" w:type="dxa"/>
            <w:start w:w="120" w:type="dxa"/>
            <w:bottom w:w="100" w:type="dxa"/>
            <w:end w:w="120" w:type="dxa"/>
          </w:tcPr>
          <w:p>
            <w:r>
              <w:rPr>
                <w:sz w:val="20"/>
              </w:rPr>
              <w:t>• Déplacer l’échafaudage avec une personne à bord.</w:t>
              <w:br/>
              <w:t>• Travailler sans garde-corps/plinthes complets.</w:t>
              <w:br/>
              <w:t>• Ancrer des charges ou bâches augmentant la prise au vent.</w:t>
              <w:br/>
              <w:t>• Utiliser des éléments de marques incompatibles.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val="clear" w:fill="FFE082"/>
          </w:tcPr>
          <w:p>
            <w:pPr>
              <w:jc w:val="left"/>
            </w:pPr>
            <w:r>
              <w:rPr>
                <w:b/>
                <w:sz w:val="26"/>
              </w:rPr>
              <w:t>Urgences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single" w:sz="12" w:color="C79A00"/>
          <w:left w:val="single" w:sz="12" w:color="C79A00"/>
          <w:bottom w:val="single" w:sz="12" w:color="C79A00"/>
          <w:right w:val="single" w:sz="12" w:color="C79A00"/>
          <w:insideH w:val="single" w:sz="6" w:color="C79A00"/>
          <w:insideV w:val="single" w:sz="6" w:color="C79A00"/>
        </w:tblBorders>
      </w:tblPr>
      <w:tblGrid>
        <w:gridCol w:w="10312"/>
      </w:tblGrid>
      <w:tr>
        <w:tc>
          <w:tcPr>
            <w:tcW w:type="dxa" w:w="10312"/>
            <w:top w:w="100" w:type="dxa"/>
            <w:start w:w="120" w:type="dxa"/>
            <w:bottom w:w="100" w:type="dxa"/>
            <w:end w:w="120" w:type="dxa"/>
          </w:tcPr>
          <w:p>
            <w:r>
              <w:rPr>
                <w:sz w:val="20"/>
              </w:rPr>
              <w:t>• En cas de défaut ou incident : baliser, arrêter l’usage, prévenir le responsable.</w:t>
              <w:br/>
              <w:t>• En cas d’accident : alerter les secours, rejoindre le point de rassemblement, appliquer les consignes du site.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850" w:right="964" w:bottom="850" w:left="9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5A5A5A"/>
        <w:sz w:val="18"/>
      </w:rPr>
      <w:t>lecoursgratuit.com — Consignes de sécurité Échafaudage roulant (Affiche A4)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