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80DEEA"/>
          </w:tcPr>
          <w:p>
            <w:pPr>
              <w:jc w:val="center"/>
            </w:pPr>
            <w:r>
              <w:rPr>
                <w:b/>
                <w:sz w:val="40"/>
              </w:rPr>
              <w:t>DVP / DUERP — Checklist d’identification des risques professionnels (EvRP)</w:t>
            </w:r>
          </w:p>
        </w:tc>
      </w:tr>
    </w:tbl>
    <w:p>
      <w:pPr>
        <w:jc w:val="center"/>
      </w:pPr>
      <w:r>
        <w:rPr>
          <w:i/>
        </w:rPr>
        <w:t>Modèle A4 couleurs &amp; design • À compléter par unité de travail / activité • Plusieurs lignes pour la saisie des situations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B2DFDB"/>
          </w:tcPr>
          <w:p>
            <w:pPr>
              <w:jc w:val="left"/>
            </w:pPr>
            <w:r>
              <w:rPr>
                <w:b/>
                <w:sz w:val="26"/>
              </w:rPr>
              <w:t>Informations générales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6A6B2"/>
          <w:left w:val="single" w:sz="12" w:color="66A6B2"/>
          <w:bottom w:val="single" w:sz="12" w:color="66A6B2"/>
          <w:right w:val="single" w:sz="12" w:color="66A6B2"/>
          <w:insideH w:val="single" w:sz="6" w:color="66A6B2"/>
          <w:insideV w:val="single" w:sz="6" w:color="66A6B2"/>
        </w:tblBorders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Unité de travail / Site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Activité / Processus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Date(s) d’observation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Équipe / Intervenants</w:t>
            </w:r>
          </w:p>
          <w:p>
            <w:r>
              <w:t xml:space="preserve">                                                                                </w:t>
            </w:r>
          </w:p>
        </w:tc>
      </w:tr>
      <w:tr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Encadrant / HSE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Période &amp; horaires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Docs de réf. (procédures, plans)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578"/>
            <w:top w:w="10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Version DUERP</w:t>
            </w:r>
          </w:p>
          <w:p>
            <w:r>
              <w:t xml:space="preserve">                                                                               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C5CAE9"/>
          </w:tcPr>
          <w:p>
            <w:pPr>
              <w:jc w:val="left"/>
            </w:pPr>
            <w:r>
              <w:rPr>
                <w:b/>
                <w:sz w:val="26"/>
              </w:rPr>
              <w:t>Familles de dangers — repérage initial (cocher)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D78B7"/>
          <w:left w:val="single" w:sz="12" w:color="6D78B7"/>
          <w:bottom w:val="single" w:sz="12" w:color="6D78B7"/>
          <w:right w:val="single" w:sz="12" w:color="6D78B7"/>
          <w:insideH w:val="single" w:sz="6" w:color="6D78B7"/>
          <w:insideV w:val="single" w:sz="6" w:color="6D78B7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Mécaniques (chocs/écrasement/coupures)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Chute de hauteur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Chute de plain-pied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Circulation / Engins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Électrique</w:t>
            </w:r>
          </w:p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Incendie / Explosion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Chimique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Biologique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Bruit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Vibrations</w:t>
            </w:r>
          </w:p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TMS / Manutention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Postures &amp; gestes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Ambiances (chaleur/froid)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Éclairage / écrans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Psychosociaux / organisation</w:t>
            </w:r>
          </w:p>
        </w:tc>
      </w:tr>
      <w:tr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ATEX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Espaces confinés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Rayonnements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Agressions externes</w:t>
            </w:r>
          </w:p>
        </w:tc>
        <w:tc>
          <w:tcPr>
            <w:tcW w:type="dxa" w:w="2062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20"/>
              </w:rPr>
              <w:t>☐ Environnement (déchets/rejets)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F59D"/>
          </w:tcPr>
          <w:p>
            <w:pPr>
              <w:jc w:val="left"/>
            </w:pPr>
            <w:r>
              <w:rPr>
                <w:b/>
                <w:sz w:val="26"/>
              </w:rPr>
              <w:t>Identification des situations d’exposition &amp; évaluation (20 lignes)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</w:tblGrid>
      <w:tr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Phase / Opération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Danger (famille / code)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Situation d’exposition (où/quand/comment)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Personnes exposées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Effets potentiels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Mesures existantes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Gravité (1–4)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Probabilité (1–4)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Niveau S×P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Mesures complémentaires à prévoir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Échéance</w:t>
            </w:r>
          </w:p>
        </w:tc>
        <w:tc>
          <w:tcPr>
            <w:tcW w:type="dxa" w:w="793"/>
            <w:shd w:val="clear" w:fill="FFE082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Suivi / Visa</w:t>
            </w:r>
          </w:p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  <w:shd w:val="clear" w:fill="FFFDE7"/>
          </w:tcPr>
          <w:p/>
        </w:tc>
      </w:tr>
      <w:tr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  <w:tc>
          <w:tcPr>
            <w:tcW w:type="dxa" w:w="793"/>
            <w:top w:w="80" w:type="dxa"/>
            <w:start w:w="80" w:type="dxa"/>
            <w:bottom w:w="80" w:type="dxa"/>
            <w:end w:w="8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B2DFDB"/>
          </w:tcPr>
          <w:p>
            <w:pPr>
              <w:jc w:val="left"/>
            </w:pPr>
            <w:r>
              <w:rPr>
                <w:b/>
                <w:sz w:val="26"/>
              </w:rPr>
              <w:t>Légende cotation (exemple à adapter)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6A6B2"/>
          <w:left w:val="single" w:sz="12" w:color="66A6B2"/>
          <w:bottom w:val="single" w:sz="12" w:color="66A6B2"/>
          <w:right w:val="single" w:sz="12" w:color="66A6B2"/>
          <w:insideH w:val="single" w:sz="6" w:color="66A6B2"/>
          <w:insideV w:val="single" w:sz="6" w:color="66A6B2"/>
        </w:tblBorders>
      </w:tblPr>
      <w:tblGrid>
        <w:gridCol w:w="3437"/>
        <w:gridCol w:w="3437"/>
        <w:gridCol w:w="3437"/>
      </w:tblGrid>
      <w:tr>
        <w:tc>
          <w:tcPr>
            <w:tcW w:type="dxa" w:w="3437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18"/>
              </w:rPr>
              <w:t>Gravité : 1 mineure — 2 notable — 3 sévère — 4 critique</w:t>
            </w:r>
          </w:p>
        </w:tc>
        <w:tc>
          <w:tcPr>
            <w:tcW w:type="dxa" w:w="3437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18"/>
              </w:rPr>
              <w:t>Probabilité : 1 rare — 2 peu probable — 3 probable — 4 fréquente</w:t>
            </w:r>
          </w:p>
        </w:tc>
        <w:tc>
          <w:tcPr>
            <w:tcW w:type="dxa" w:w="3437"/>
            <w:top w:w="80" w:type="dxa"/>
            <w:start w:w="120" w:type="dxa"/>
            <w:bottom w:w="80" w:type="dxa"/>
            <w:end w:w="120" w:type="dxa"/>
          </w:tcPr>
          <w:p>
            <w:r>
              <w:rPr>
                <w:sz w:val="18"/>
              </w:rPr>
              <w:t>Niveau S×P : 1–4 faible • 5–8 modéré • 9–12 significatif • 13–16 élevé (prioriser)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C5CAE9"/>
          </w:tcPr>
          <w:p>
            <w:pPr>
              <w:jc w:val="left"/>
            </w:pPr>
            <w:r>
              <w:rPr>
                <w:b/>
                <w:sz w:val="26"/>
              </w:rPr>
              <w:t>Visa &amp; diffusion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D78B7"/>
          <w:left w:val="single" w:sz="12" w:color="6D78B7"/>
          <w:bottom w:val="single" w:sz="12" w:color="6D78B7"/>
          <w:right w:val="single" w:sz="12" w:color="6D78B7"/>
          <w:insideH w:val="single" w:sz="6" w:color="6D78B7"/>
          <w:insideV w:val="single" w:sz="6" w:color="6D78B7"/>
        </w:tblBorders>
      </w:tblPr>
      <w:tblGrid>
        <w:gridCol w:w="3437"/>
        <w:gridCol w:w="3437"/>
        <w:gridCol w:w="3437"/>
      </w:tblGrid>
      <w:tr>
        <w:tc>
          <w:tcPr>
            <w:tcW w:type="dxa" w:w="3437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b/>
              </w:rPr>
              <w:t>Rédacteur (Nom, signature, date)</w:t>
            </w:r>
          </w:p>
        </w:tc>
        <w:tc>
          <w:tcPr>
            <w:tcW w:type="dxa" w:w="3437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b/>
              </w:rPr>
              <w:t>Validation HSE / Direction</w:t>
            </w:r>
          </w:p>
        </w:tc>
        <w:tc>
          <w:tcPr>
            <w:tcW w:type="dxa" w:w="3437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b/>
              </w:rPr>
              <w:t>Diffusion (équipe, affichage)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DVP/DUERP — Checklist d’identification des risques professionnels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