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CHECK-LIST — GO / NO‑GO PROJET (RACI + RISQUES)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0"/>
        <w:gridCol w:w="2550"/>
        <w:gridCol w:w="2550"/>
        <w:gridCol w:w="2550"/>
      </w:tblGrid>
      <w:tr>
        <w:tc>
          <w:tcPr>
            <w:tcW w:type="dxa" w:w="2550"/>
          </w:tcPr>
          <w:p>
            <w:r>
              <w:rPr>
                <w:sz w:val="20"/>
              </w:rPr>
              <w:t>Organisation / Client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Processus / Projet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Lieu / Site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Date</w:t>
            </w:r>
          </w:p>
        </w:tc>
      </w:tr>
      <w:tr>
        <w:tc>
          <w:tcPr>
            <w:tcW w:type="dxa" w:w="2550"/>
          </w:tcPr>
          <w:p>
            <w:r>
              <w:rPr>
                <w:sz w:val="20"/>
              </w:rPr>
              <w:t>______________________________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______________________________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______________________________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____/____/________</w:t>
            </w:r>
          </w:p>
        </w:tc>
      </w:tr>
      <w:tr>
        <w:tc>
          <w:tcPr>
            <w:tcW w:type="dxa" w:w="2550"/>
          </w:tcPr>
          <w:p>
            <w:r>
              <w:rPr>
                <w:sz w:val="20"/>
              </w:rPr>
              <w:t>Préparé par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Validé par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Version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Référence doc.</w:t>
            </w:r>
          </w:p>
        </w:tc>
      </w:tr>
      <w:tr>
        <w:tc>
          <w:tcPr>
            <w:tcW w:type="dxa" w:w="2550"/>
          </w:tcPr>
          <w:p>
            <w:r>
              <w:rPr>
                <w:sz w:val="20"/>
              </w:rPr>
              <w:t>______________________________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______________________________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V ______</w:t>
            </w:r>
          </w:p>
        </w:tc>
        <w:tc>
          <w:tcPr>
            <w:tcW w:type="dxa" w:w="2550"/>
          </w:tcPr>
          <w:p>
            <w:r>
              <w:rPr>
                <w:sz w:val="20"/>
              </w:rPr>
              <w:t>Ref : __________</w:t>
            </w:r>
          </w:p>
        </w:tc>
      </w:tr>
    </w:tbl>
    <w:p/>
    <w:p>
      <w:pPr>
        <w:jc w:val="left"/>
      </w:pPr>
      <w:r>
        <w:rPr>
          <w:b/>
          <w:sz w:val="24"/>
        </w:rPr>
        <w:t>Validation par domaines (Fonctionnel, Technique, Sécurité, Données, Support)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>
        <w:tc>
          <w:tcPr>
            <w:tcW w:type="dxa" w:w="567"/>
            <w:vAlign w:val="center"/>
          </w:tcPr>
          <w:p>
            <w:r>
              <w:rPr>
                <w:b/>
                <w:sz w:val="20"/>
              </w:rPr>
              <w:t>N°</w:t>
            </w:r>
          </w:p>
        </w:tc>
        <w:tc>
          <w:tcPr>
            <w:tcW w:type="dxa" w:w="1701"/>
            <w:vAlign w:val="center"/>
          </w:tcPr>
          <w:p>
            <w:r>
              <w:rPr>
                <w:b/>
                <w:sz w:val="20"/>
              </w:rPr>
              <w:t>Domaine</w:t>
            </w:r>
          </w:p>
        </w:tc>
        <w:tc>
          <w:tcPr>
            <w:tcW w:type="dxa" w:w="3402"/>
            <w:vAlign w:val="center"/>
          </w:tcPr>
          <w:p>
            <w:r>
              <w:rPr>
                <w:b/>
                <w:sz w:val="20"/>
              </w:rPr>
              <w:t>Item / Validation</w:t>
            </w:r>
          </w:p>
        </w:tc>
        <w:tc>
          <w:tcPr>
            <w:tcW w:type="dxa" w:w="680"/>
            <w:vAlign w:val="center"/>
          </w:tcPr>
          <w:p>
            <w:r>
              <w:rPr>
                <w:b/>
                <w:sz w:val="20"/>
              </w:rPr>
              <w:t>R</w:t>
            </w:r>
          </w:p>
        </w:tc>
        <w:tc>
          <w:tcPr>
            <w:tcW w:type="dxa" w:w="680"/>
            <w:vAlign w:val="center"/>
          </w:tcPr>
          <w:p>
            <w:r>
              <w:rPr>
                <w:b/>
                <w:sz w:val="20"/>
              </w:rPr>
              <w:t>A</w:t>
            </w:r>
          </w:p>
        </w:tc>
        <w:tc>
          <w:tcPr>
            <w:tcW w:type="dxa" w:w="680"/>
            <w:vAlign w:val="center"/>
          </w:tcPr>
          <w:p>
            <w:r>
              <w:rPr>
                <w:b/>
                <w:sz w:val="20"/>
              </w:rPr>
              <w:t>C</w:t>
            </w:r>
          </w:p>
        </w:tc>
        <w:tc>
          <w:tcPr>
            <w:tcW w:type="dxa" w:w="680"/>
            <w:vAlign w:val="center"/>
          </w:tcPr>
          <w:p>
            <w:r>
              <w:rPr>
                <w:b/>
                <w:sz w:val="20"/>
              </w:rPr>
              <w:t>I</w:t>
            </w:r>
          </w:p>
        </w:tc>
        <w:tc>
          <w:tcPr>
            <w:tcW w:type="dxa" w:w="2835"/>
            <w:vAlign w:val="center"/>
          </w:tcPr>
          <w:p>
            <w:r>
              <w:rPr>
                <w:b/>
                <w:sz w:val="20"/>
              </w:rPr>
              <w:t>Statut (☐ OK ☐ NOK ☐ N/A)</w:t>
            </w:r>
          </w:p>
        </w:tc>
        <w:tc>
          <w:tcPr>
            <w:tcW w:type="dxa" w:w="2268"/>
            <w:vAlign w:val="center"/>
          </w:tcPr>
          <w:p>
            <w:r>
              <w:rPr>
                <w:b/>
                <w:sz w:val="20"/>
              </w:rPr>
              <w:t>Risque (faible/moyen/élevé)</w:t>
            </w:r>
          </w:p>
        </w:tc>
        <w:tc>
          <w:tcPr>
            <w:tcW w:type="dxa" w:w="3402"/>
            <w:vAlign w:val="center"/>
          </w:tcPr>
          <w:p>
            <w:r>
              <w:rPr>
                <w:b/>
                <w:sz w:val="20"/>
              </w:rPr>
              <w:t>Mesures / Plan B</w:t>
            </w:r>
          </w:p>
        </w:tc>
        <w:tc>
          <w:tcPr>
            <w:tcW w:type="dxa" w:w="1701"/>
            <w:vAlign w:val="center"/>
          </w:tcPr>
          <w:p>
            <w:r>
              <w:rPr>
                <w:b/>
                <w:sz w:val="20"/>
              </w:rPr>
              <w:t>Échéance</w:t>
            </w:r>
          </w:p>
        </w:tc>
        <w:tc>
          <w:tcPr>
            <w:tcW w:type="dxa" w:w="1701"/>
            <w:vAlign w:val="center"/>
          </w:tcPr>
          <w:p>
            <w:r>
              <w:rPr>
                <w:b/>
                <w:sz w:val="20"/>
              </w:rPr>
              <w:t>Propriétaire</w:t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567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680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835"/>
            <w:vAlign w:val="center"/>
          </w:tcPr>
          <w:p>
            <w:r>
              <w:rPr>
                <w:sz w:val="20"/>
              </w:rPr>
              <w:t xml:space="preserve">☐ </w:t>
            </w:r>
          </w:p>
        </w:tc>
        <w:tc>
          <w:tcPr>
            <w:tcW w:type="dxa" w:w="2268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3402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1701"/>
            <w:vAlign w:val="center"/>
          </w:tcPr>
          <w:p>
            <w:r>
              <w:rPr>
                <w:sz w:val="20"/>
              </w:rPr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850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Modèle vierge : Go/No‑Go Projet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