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222222"/>
          </w:tcPr>
          <w:p>
            <w:pPr>
              <w:jc w:val="center"/>
            </w:pPr>
            <w:r/>
            <w:r>
              <w:rPr>
                <w:b/>
                <w:color w:val="FFFFFF"/>
                <w:sz w:val="32"/>
              </w:rPr>
              <w:t>Carte de tarifs — Services</w:t>
            </w:r>
          </w:p>
        </w:tc>
      </w:tr>
      <w:tr>
        <w:tc>
          <w:tcPr>
            <w:tcW w:type="dxa" w:w="10540"/>
            <w:shd w:fill="F3F6FF"/>
          </w:tcPr>
          <w:p>
            <w:pPr>
              <w:jc w:val="center"/>
            </w:pPr>
            <w:r/>
            <w:r>
              <w:rPr>
                <w:b w:val="0"/>
                <w:color w:val="444444"/>
                <w:sz w:val="20"/>
              </w:rPr>
              <w:t>A4 portrait • 2 colonnes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Service</w:t>
            </w:r>
          </w:p>
        </w:tc>
        <w:tc>
          <w:tcPr>
            <w:tcW w:type="dxa" w:w="527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Tarif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  <w:tr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Nom du service — 30 min / 1 h / Forfait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À partir de ___ €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Modèles de tarification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