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color w:val="007A66"/>
          <w:sz w:val="32"/>
        </w:rPr>
        <w:t>FICHE RÉFLEXE — INCIDENT / URGENCE</w:t>
      </w:r>
    </w:p>
    <w:p>
      <w:pPr>
        <w:spacing w:after="120"/>
      </w:pPr>
    </w:p>
    <w:p>
      <w:r>
        <w:rPr>
          <w:b/>
        </w:rPr>
        <w:t>Contacts (à compléter)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>
            <w:r>
              <w:t>Secours (112) – n° interne</w:t>
            </w:r>
          </w:p>
        </w:tc>
        <w:tc>
          <w:tcPr>
            <w:tcW w:type="dxa" w:w="2551"/>
          </w:tcPr>
          <w:p>
            <w:r>
              <w:t>__________</w:t>
            </w:r>
          </w:p>
        </w:tc>
        <w:tc>
          <w:tcPr>
            <w:tcW w:type="dxa" w:w="2551"/>
          </w:tcPr>
          <w:p>
            <w:r>
              <w:t>Chef de chantier</w:t>
            </w:r>
          </w:p>
        </w:tc>
        <w:tc>
          <w:tcPr>
            <w:tcW w:type="dxa" w:w="2551"/>
          </w:tcPr>
          <w:p>
            <w:r>
              <w:t>__________</w:t>
            </w:r>
          </w:p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</w:tbl>
    <w:p>
      <w:r>
        <w:rPr>
          <w:b/>
        </w:rPr>
        <w:t>Scénarios &amp; actions :</w:t>
      </w:r>
    </w:p>
    <w:p>
      <w:r>
        <w:rPr>
          <w:b/>
        </w:rPr>
        <w:t>Basculement / instabilité</w:t>
      </w:r>
    </w:p>
    <w:p>
      <w:sdt>
        <w:sdtPr>
          <w:id w:val="13576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t/>
          </w:r>
        </w:sdtContent>
      </w:sdt>
      <w:r>
        <w:t xml:space="preserve">  Alerte — prévenir, baliser, interdire la zone.</w:t>
      </w:r>
    </w:p>
    <w:p>
      <w:sdt>
        <w:sdtPr>
          <w:id w:val="48390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t/>
          </w:r>
        </w:sdtContent>
      </w:sdt>
      <w:r>
        <w:t xml:space="preserve">  Évacuer par l’accès interne ; s’éloigner côté chute.</w:t>
      </w:r>
    </w:p>
    <w:p>
      <w:sdt>
        <w:sdtPr>
          <w:id w:val="61286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t/>
          </w:r>
        </w:sdtContent>
      </w:sdt>
      <w:r>
        <w:t xml:space="preserve">  Appeler les secours ; suspendre l’activité ; conserver les éléments pour analyse.</w:t>
      </w:r>
    </w:p>
    <w:p>
      <w:r>
        <w:rPr>
          <w:b/>
        </w:rPr>
        <w:t>Chute d’objet</w:t>
      </w:r>
    </w:p>
    <w:p>
      <w:sdt>
        <w:sdtPr>
          <w:id w:val="28314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t/>
          </w:r>
        </w:sdtContent>
      </w:sdt>
      <w:r>
        <w:t xml:space="preserve">  Sécuriser le périmètre, protéger les tiers.</w:t>
      </w:r>
    </w:p>
    <w:p>
      <w:sdt>
        <w:sdtPr>
          <w:id w:val="30029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t/>
          </w:r>
        </w:sdtContent>
      </w:sdt>
      <w:r>
        <w:t xml:space="preserve">  Prise en charge du blessé, déclaration d’incident.</w:t>
      </w:r>
    </w:p>
    <w:p>
      <w:r>
        <w:rPr>
          <w:b/>
        </w:rPr>
        <w:t>Électrisation / proximité ligne</w:t>
      </w:r>
    </w:p>
    <w:p>
      <w:sdt>
        <w:sdtPr>
          <w:id w:val="41363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t/>
          </w:r>
        </w:sdtContent>
      </w:sdt>
      <w:r>
        <w:t xml:space="preserve">  Ne pas toucher la victime si au contact ; procéder à la coupure d’urgence.</w:t>
      </w:r>
    </w:p>
    <w:p>
      <w:sdt>
        <w:sdtPr>
          <w:id w:val="77774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t/>
          </w:r>
        </w:sdtContent>
      </w:sdt>
      <w:r>
        <w:t xml:space="preserve">  Appeler les secours ; zone interdite jusqu’à contrôle.</w:t>
      </w:r>
    </w:p>
    <w:p>
      <w:r>
        <w:rPr>
          <w:b/>
        </w:rPr>
        <w:t>Reprise après incident</w:t>
      </w:r>
    </w:p>
    <w:p>
      <w:sdt>
        <w:sdtPr>
          <w:id w:val="24091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t/>
          </w:r>
        </w:sdtContent>
      </w:sdt>
      <w:r>
        <w:t xml:space="preserve">  Mise hors service de la tour ; inspection et remise en conformité documentée avant reprise.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/>
        <w:color w:val="787878"/>
        <w:sz w:val="16"/>
      </w:rPr>
      <w:t>lecoursgratuit.com — Modèle générique — Échafaudage roulant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rFonts w:ascii="Calibri" w:hAnsi="Calibri"/>
        <w:color w:val="464646"/>
        <w:sz w:val="18"/>
      </w:rPr>
      <w:t>FICHE RÉFLEXE — URGENCE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