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007A66"/>
          <w:sz w:val="36"/>
        </w:rPr>
        <w:t>ÉCHAFAUDAGE ROULANT — CONSIGNES DE SÉCURITÉ</w:t>
      </w:r>
    </w:p>
    <w:p>
      <w:pPr>
        <w:jc w:val="center"/>
      </w:pPr>
      <w:r>
        <w:rPr>
          <w:rFonts w:ascii="Calibri" w:hAnsi="Calibri"/>
          <w:color w:val="5A5A5A"/>
          <w:sz w:val="20"/>
        </w:rPr>
        <w:t>Affiche A4 à imprimer — Règles essentielles d'utilisation en sécurité</w:t>
      </w:r>
    </w:p>
    <w:p>
      <w:r>
        <w:t xml:space="preserve"> </w:t>
      </w:r>
    </w:p>
    <w:p>
      <w:r>
        <w:drawing>
          <wp:inline xmlns:a="http://schemas.openxmlformats.org/drawingml/2006/main" xmlns:pic="http://schemas.openxmlformats.org/drawingml/2006/picture">
            <wp:extent cx="6480000" cy="909802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ffiche_echafaudage_roulant_A4_v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9098027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6"/>
      </w:rPr>
      <w:t>lecoursgratuit.com — Affiche A4 — Échafaudage roulant — Consignes de sécurité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