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SOP — Préparation des chanfreins &amp; assemblage avant soudure</w:t>
      </w:r>
    </w:p>
    <w:p>
      <w:pPr>
        <w:jc w:val="center"/>
      </w:pPr>
      <w:r>
        <w:rPr>
          <w:i/>
        </w:rPr>
        <w:t>Processus : Soudage | Référence WPS : [à compléter]</w:t>
      </w:r>
    </w:p>
    <w:p/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268"/>
            <w:vAlign w:val="center"/>
          </w:tcPr>
          <w:p>
            <w:r>
              <w:t>Site :</w:t>
            </w:r>
          </w:p>
        </w:tc>
        <w:tc>
          <w:tcPr>
            <w:tcW w:type="dxa" w:w="3969"/>
            <w:vAlign w:val="center"/>
          </w:tcPr>
          <w:p>
            <w:r>
              <w:t>[Site / Ateliers]</w:t>
            </w:r>
          </w:p>
        </w:tc>
        <w:tc>
          <w:tcPr>
            <w:tcW w:type="dxa" w:w="1701"/>
            <w:vAlign w:val="center"/>
          </w:tcPr>
          <w:p>
            <w:r>
              <w:t>Processus :</w:t>
            </w:r>
          </w:p>
        </w:tc>
        <w:tc>
          <w:tcPr>
            <w:tcW w:type="dxa" w:w="2268"/>
            <w:vAlign w:val="center"/>
          </w:tcPr>
          <w:p>
            <w:r>
              <w:t>[Procédé (GMAW/MAG, GTAW/TIG, SMAW/Électrode…)]</w:t>
            </w:r>
          </w:p>
        </w:tc>
      </w:tr>
      <w:tr>
        <w:tc>
          <w:tcPr>
            <w:tcW w:type="dxa" w:w="2268"/>
            <w:vAlign w:val="center"/>
          </w:tcPr>
          <w:p>
            <w:r>
              <w:t>Périmètre :</w:t>
            </w:r>
          </w:p>
        </w:tc>
        <w:tc>
          <w:tcPr>
            <w:tcW w:type="dxa" w:w="3969"/>
            <w:vAlign w:val="center"/>
          </w:tcPr>
          <w:p>
            <w:r>
              <w:t>[Préparation &amp; Assemblage avant soudure]</w:t>
            </w:r>
          </w:p>
        </w:tc>
        <w:tc>
          <w:tcPr>
            <w:tcW w:type="dxa" w:w="1701"/>
            <w:vAlign w:val="center"/>
          </w:tcPr>
          <w:p>
            <w:r>
              <w:t>Unité :</w:t>
            </w:r>
          </w:p>
        </w:tc>
        <w:tc>
          <w:tcPr>
            <w:tcW w:type="dxa" w:w="2268"/>
            <w:vAlign w:val="center"/>
          </w:tcPr>
          <w:p>
            <w:r>
              <w:t>[Ligne / Projet]</w:t>
            </w:r>
          </w:p>
        </w:tc>
      </w:tr>
      <w:tr>
        <w:tc>
          <w:tcPr>
            <w:tcW w:type="dxa" w:w="2268"/>
            <w:vAlign w:val="center"/>
          </w:tcPr>
          <w:p>
            <w:r>
              <w:t>Rédacteur :</w:t>
            </w:r>
          </w:p>
        </w:tc>
        <w:tc>
          <w:tcPr>
            <w:tcW w:type="dxa" w:w="3969"/>
            <w:vAlign w:val="center"/>
          </w:tcPr>
          <w:p>
            <w:r>
              <w:t>[Nom, Fonction]</w:t>
            </w:r>
          </w:p>
        </w:tc>
        <w:tc>
          <w:tcPr>
            <w:tcW w:type="dxa" w:w="1701"/>
            <w:vAlign w:val="center"/>
          </w:tcPr>
          <w:p>
            <w:r>
              <w:t>Vérificateur :</w:t>
            </w:r>
          </w:p>
        </w:tc>
        <w:tc>
          <w:tcPr>
            <w:tcW w:type="dxa" w:w="2268"/>
            <w:vAlign w:val="center"/>
          </w:tcPr>
          <w:p>
            <w:r>
              <w:t>[Nom, Fonction]</w:t>
            </w:r>
          </w:p>
        </w:tc>
      </w:tr>
      <w:tr>
        <w:tc>
          <w:tcPr>
            <w:tcW w:type="dxa" w:w="2268"/>
            <w:vAlign w:val="center"/>
          </w:tcPr>
          <w:p>
            <w:r>
              <w:t>Approbateur :</w:t>
            </w:r>
          </w:p>
        </w:tc>
        <w:tc>
          <w:tcPr>
            <w:tcW w:type="dxa" w:w="3969"/>
            <w:vAlign w:val="center"/>
          </w:tcPr>
          <w:p>
            <w:r>
              <w:t>[Nom, Fonction]</w:t>
            </w:r>
          </w:p>
        </w:tc>
        <w:tc>
          <w:tcPr>
            <w:tcW w:type="dxa" w:w="1701"/>
            <w:vAlign w:val="center"/>
          </w:tcPr>
          <w:p>
            <w:r>
              <w:t>Confidentialité :</w:t>
            </w:r>
          </w:p>
        </w:tc>
        <w:tc>
          <w:tcPr>
            <w:tcW w:type="dxa" w:w="2268"/>
            <w:vAlign w:val="center"/>
          </w:tcPr>
          <w:p>
            <w:r>
              <w:t>Interne / Externe</w:t>
            </w:r>
          </w:p>
        </w:tc>
      </w:tr>
    </w:tbl>
    <w:p/>
    <w:p>
      <w:r>
        <w:rPr>
          <w:b/>
        </w:rPr>
        <w:t>1. Objet</w:t>
      </w:r>
    </w:p>
    <w:p>
      <w:r>
        <w:t>Décrire de façon standardisée la préparation des chanfreins et l’assemblage des pièces avant soudure afin d’assurer la répétabilité, la qualité et la sécurité.</w:t>
      </w:r>
    </w:p>
    <w:p>
      <w:r>
        <w:rPr>
          <w:b/>
        </w:rPr>
        <w:t>2. Champ d’application</w:t>
      </w:r>
    </w:p>
    <w:p>
      <w:r>
        <w:t>Applicable à toutes les opérations de préparation de bords (oxy-coupage, découpe, meulage, fraisage) et d’assemblage (mise en position, bridage, pointage) pour les joints soudés des ateliers concernés.</w:t>
      </w:r>
    </w:p>
    <w:p>
      <w:r>
        <w:rPr>
          <w:b/>
        </w:rPr>
        <w:t>3. Définitions</w:t>
      </w:r>
    </w:p>
    <w:tbl>
      <w:tblPr>
        <w:tblStyle w:val="TableGrid"/>
        <w:tblW w:type="auto" w:w="0"/>
        <w:tblLayout w:type="autofit"/>
        <w:tblLook w:firstColumn="1" w:firstRow="1" w:lastColumn="0" w:lastRow="0" w:noHBand="0" w:noVBand="1" w:val="04A0"/>
      </w:tblPr>
      <w:tblGrid>
        <w:gridCol w:w="5128"/>
        <w:gridCol w:w="5128"/>
      </w:tblGrid>
      <w:tr>
        <w:tc>
          <w:tcPr>
            <w:tcW w:type="dxa" w:w="5128"/>
          </w:tcPr>
          <w:p>
            <w:r>
              <w:t>Chanfrein (V, X, U, J)</w:t>
            </w:r>
          </w:p>
        </w:tc>
        <w:tc>
          <w:tcPr>
            <w:tcW w:type="dxa" w:w="5128"/>
          </w:tcPr>
          <w:p>
            <w:r>
              <w:t>Géométrie du bord préparé pour recevoir le cordon de soudure.</w:t>
            </w:r>
          </w:p>
        </w:tc>
      </w:tr>
      <w:tr>
        <w:tc>
          <w:tcPr>
            <w:tcW w:type="dxa" w:w="5128"/>
          </w:tcPr>
          <w:p>
            <w:r>
              <w:t>Angle de chanfrein (°)</w:t>
            </w:r>
          </w:p>
        </w:tc>
        <w:tc>
          <w:tcPr>
            <w:tcW w:type="dxa" w:w="5128"/>
          </w:tcPr>
          <w:p>
            <w:r>
              <w:t>Angle formé entre la surface chanfreinée et la surface du matériau.</w:t>
            </w:r>
          </w:p>
        </w:tc>
      </w:tr>
      <w:tr>
        <w:tc>
          <w:tcPr>
            <w:tcW w:type="dxa" w:w="5128"/>
          </w:tcPr>
          <w:p>
            <w:r>
              <w:t>Ouverture de racine (mm)</w:t>
            </w:r>
          </w:p>
        </w:tc>
        <w:tc>
          <w:tcPr>
            <w:tcW w:type="dxa" w:w="5128"/>
          </w:tcPr>
          <w:p>
            <w:r>
              <w:t>Jeu au fond du joint permettant la pénétration.</w:t>
            </w:r>
          </w:p>
        </w:tc>
      </w:tr>
      <w:tr>
        <w:tc>
          <w:tcPr>
            <w:tcW w:type="dxa" w:w="5128"/>
          </w:tcPr>
          <w:p>
            <w:r>
              <w:t>Pointage</w:t>
            </w:r>
          </w:p>
        </w:tc>
        <w:tc>
          <w:tcPr>
            <w:tcW w:type="dxa" w:w="5128"/>
          </w:tcPr>
          <w:p>
            <w:r>
              <w:t>Soudure provisoire destinée à maintenir l’assemblage avant soudure finale.</w:t>
            </w:r>
          </w:p>
        </w:tc>
      </w:tr>
    </w:tbl>
    <w:p/>
    <w:p>
      <w:r>
        <w:rPr>
          <w:b/>
        </w:rPr>
        <w:t>4. Documents &amp; Références applicables</w:t>
      </w:r>
    </w:p>
    <w:p>
      <w:r>
        <w:t>• Plans et ISO des pièces (réf. dessin)</w:t>
        <w:br/>
        <w:t>• WPS/PQR applicables (réf. procédure de soudage)</w:t>
        <w:br/>
        <w:t>• Spécifications clients / cahier des charges</w:t>
        <w:br/>
        <w:t>• Normes: ISO 2553 (symboles de soudage), ISO 5817 (niveaux de qualité), ISO 13920 (tolérances), ISO 9606-1 (qualification soudeurs), [Autres à compléter]</w:t>
      </w:r>
    </w:p>
    <w:p/>
    <w:p>
      <w:r>
        <w:rPr>
          <w:b/>
        </w:rPr>
        <w:t>5. Responsabilités</w:t>
      </w:r>
    </w:p>
    <w:p>
      <w:r>
        <w:t>• Opérateur préparation: réalise la préparation selon paramètres.</w:t>
        <w:br/>
        <w:t>• Opérateur montage/serrage: assure la mise en position, l’alignement et le bridage.</w:t>
        <w:br/>
        <w:t>• Soudeur: valide le pointage et l’aptitude à souder.</w:t>
        <w:br/>
        <w:t>• Contrôle (QC): effectue les contrôles avant libération à la soudure.</w:t>
        <w:br/>
        <w:t>• Superviseur: s’assure de l’application de la présente SOP.</w:t>
      </w:r>
    </w:p>
    <w:p/>
    <w:p>
      <w:r>
        <w:rPr>
          <w:b/>
        </w:rPr>
        <w:t>6. Sécurité &amp; EPI (avant toute opération)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28"/>
        <w:gridCol w:w="5128"/>
      </w:tblGrid>
      <w:tr>
        <w:tc>
          <w:tcPr>
            <w:tcW w:type="dxa" w:w="5128"/>
          </w:tcPr>
          <w:p>
            <w:r>
              <w:t>☐ Gants anti-coupures / soudage adaptés</w:t>
            </w:r>
          </w:p>
        </w:tc>
        <w:tc>
          <w:tcPr>
            <w:tcW w:type="dxa" w:w="5128"/>
          </w:tcPr>
          <w:p>
            <w:r>
              <w:t>☐ Lunettes + écran facial (meulage)</w:t>
            </w:r>
          </w:p>
        </w:tc>
      </w:tr>
      <w:tr>
        <w:tc>
          <w:tcPr>
            <w:tcW w:type="dxa" w:w="5128"/>
          </w:tcPr>
          <w:p>
            <w:r>
              <w:t>☐ Protection auditive</w:t>
            </w:r>
          </w:p>
        </w:tc>
        <w:tc>
          <w:tcPr>
            <w:tcW w:type="dxa" w:w="5128"/>
          </w:tcPr>
          <w:p>
            <w:r>
              <w:t>☐ Masque anti-poussières / fumées selon opération</w:t>
            </w:r>
          </w:p>
        </w:tc>
      </w:tr>
      <w:tr>
        <w:tc>
          <w:tcPr>
            <w:tcW w:type="dxa" w:w="5128"/>
          </w:tcPr>
          <w:p>
            <w:r>
              <w:t>☐ Aspirations/ventilation en service</w:t>
            </w:r>
          </w:p>
        </w:tc>
        <w:tc>
          <w:tcPr>
            <w:tcW w:type="dxa" w:w="5128"/>
          </w:tcPr>
          <w:p>
            <w:r>
              <w:t>☐ Zone balisée (étincelles/copeaux)</w:t>
            </w:r>
          </w:p>
        </w:tc>
      </w:tr>
      <w:tr>
        <w:tc>
          <w:tcPr>
            <w:tcW w:type="dxa" w:w="5128"/>
          </w:tcPr>
          <w:p>
            <w:r>
              <w:t>☐ État des outils (meuleuse, chanfreineuse)</w:t>
            </w:r>
          </w:p>
        </w:tc>
        <w:tc>
          <w:tcPr>
            <w:tcW w:type="dxa" w:w="5128"/>
          </w:tcPr>
          <w:p>
            <w:r>
              <w:t>☐ Câbles / tuyaux intacts et sécurisés</w:t>
            </w:r>
          </w:p>
        </w:tc>
      </w:tr>
      <w:tr>
        <w:tc>
          <w:tcPr>
            <w:tcW w:type="dxa" w:w="5128"/>
          </w:tcPr>
          <w:p>
            <w:r>
              <w:t>☐ Permis de feu si requis</w:t>
            </w:r>
          </w:p>
        </w:tc>
        <w:tc>
          <w:tcPr>
            <w:tcW w:type="dxa" w:w="5128"/>
          </w:tcPr>
          <w:p>
            <w:r>
              <w:t>☐ Extincteur à proximité</w:t>
            </w:r>
          </w:p>
        </w:tc>
      </w:tr>
      <w:tr>
        <w:tc>
          <w:tcPr>
            <w:tcW w:type="dxa" w:w="5128"/>
          </w:tcPr>
          <w:p>
            <w:r>
              <w:t>☐ Posture sécurisée / anti-chute</w:t>
            </w:r>
          </w:p>
        </w:tc>
        <w:tc>
          <w:tcPr>
            <w:tcW w:type="dxa" w:w="5128"/>
          </w:tcPr>
          <w:p>
            <w:r>
              <w:t>☐ Rangement / propreté de la zone</w:t>
            </w:r>
          </w:p>
        </w:tc>
      </w:tr>
    </w:tbl>
    <w:p/>
    <w:p>
      <w:r>
        <w:rPr>
          <w:b/>
        </w:rPr>
        <w:t>7. Équipements &amp; consommables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Équipement</w:t>
            </w:r>
          </w:p>
        </w:tc>
        <w:tc>
          <w:tcPr>
            <w:tcW w:type="dxa" w:w="3419"/>
          </w:tcPr>
          <w:p>
            <w:r>
              <w:t>Référence/Type</w:t>
            </w:r>
          </w:p>
        </w:tc>
        <w:tc>
          <w:tcPr>
            <w:tcW w:type="dxa" w:w="3419"/>
          </w:tcPr>
          <w:p>
            <w:r>
              <w:t>État/Calibrage</w:t>
            </w:r>
          </w:p>
        </w:tc>
      </w:tr>
      <w:tr>
        <w:tc>
          <w:tcPr>
            <w:tcW w:type="dxa" w:w="3419"/>
          </w:tcPr>
          <w:p>
            <w:r>
              <w:t>Outil/Fixture 1</w:t>
            </w:r>
          </w:p>
        </w:tc>
        <w:tc>
          <w:tcPr>
            <w:tcW w:type="dxa" w:w="3419"/>
          </w:tcPr>
          <w:p>
            <w:r>
              <w:t>[à compléter]</w:t>
            </w:r>
          </w:p>
        </w:tc>
        <w:tc>
          <w:tcPr>
            <w:tcW w:type="dxa" w:w="3419"/>
          </w:tcPr>
          <w:p>
            <w:r>
              <w:t>[OK/À remplacer]</w:t>
            </w:r>
          </w:p>
        </w:tc>
      </w:tr>
      <w:tr>
        <w:tc>
          <w:tcPr>
            <w:tcW w:type="dxa" w:w="3419"/>
          </w:tcPr>
          <w:p>
            <w:r>
              <w:t>Outil/Fixture 2</w:t>
            </w:r>
          </w:p>
        </w:tc>
        <w:tc>
          <w:tcPr>
            <w:tcW w:type="dxa" w:w="3419"/>
          </w:tcPr>
          <w:p>
            <w:r>
              <w:t>[à compléter]</w:t>
            </w:r>
          </w:p>
        </w:tc>
        <w:tc>
          <w:tcPr>
            <w:tcW w:type="dxa" w:w="3419"/>
          </w:tcPr>
          <w:p>
            <w:r>
              <w:t>[OK/À remplacer]</w:t>
            </w:r>
          </w:p>
        </w:tc>
      </w:tr>
      <w:tr>
        <w:tc>
          <w:tcPr>
            <w:tcW w:type="dxa" w:w="3419"/>
          </w:tcPr>
          <w:p>
            <w:r>
              <w:t>Outil/Fixture 3</w:t>
            </w:r>
          </w:p>
        </w:tc>
        <w:tc>
          <w:tcPr>
            <w:tcW w:type="dxa" w:w="3419"/>
          </w:tcPr>
          <w:p>
            <w:r>
              <w:t>[à compléter]</w:t>
            </w:r>
          </w:p>
        </w:tc>
        <w:tc>
          <w:tcPr>
            <w:tcW w:type="dxa" w:w="3419"/>
          </w:tcPr>
          <w:p>
            <w:r>
              <w:t>[OK/À remplacer]</w:t>
            </w:r>
          </w:p>
        </w:tc>
      </w:tr>
      <w:tr>
        <w:tc>
          <w:tcPr>
            <w:tcW w:type="dxa" w:w="3419"/>
          </w:tcPr>
          <w:p>
            <w:r>
              <w:t>Outil/Fixture 4</w:t>
            </w:r>
          </w:p>
        </w:tc>
        <w:tc>
          <w:tcPr>
            <w:tcW w:type="dxa" w:w="3419"/>
          </w:tcPr>
          <w:p>
            <w:r>
              <w:t>[à compléter]</w:t>
            </w:r>
          </w:p>
        </w:tc>
        <w:tc>
          <w:tcPr>
            <w:tcW w:type="dxa" w:w="3419"/>
          </w:tcPr>
          <w:p>
            <w:r>
              <w:t>[OK/À remplacer]</w:t>
            </w:r>
          </w:p>
        </w:tc>
      </w:tr>
    </w:tbl>
    <w:p/>
    <w:p>
      <w:r>
        <w:rPr>
          <w:b/>
        </w:rPr>
        <w:t>8. Paramètres de préparation des chanfreins</w:t>
      </w:r>
    </w:p>
    <w:p>
      <w:r>
        <w:t>Renseigner les paramètres par type de joint. Exemple fourni en première ligne.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65"/>
        <w:gridCol w:w="1465"/>
        <w:gridCol w:w="1465"/>
        <w:gridCol w:w="1465"/>
        <w:gridCol w:w="1465"/>
        <w:gridCol w:w="1465"/>
        <w:gridCol w:w="1465"/>
      </w:tblGrid>
      <w:tr>
        <w:tc>
          <w:tcPr>
            <w:tcW w:type="dxa" w:w="1465"/>
          </w:tcPr>
          <w:p>
            <w:r>
              <w:t>Type de joint</w:t>
            </w:r>
          </w:p>
        </w:tc>
        <w:tc>
          <w:tcPr>
            <w:tcW w:type="dxa" w:w="1465"/>
          </w:tcPr>
          <w:p>
            <w:r>
              <w:t>Épaisseur (mm)</w:t>
            </w:r>
          </w:p>
        </w:tc>
        <w:tc>
          <w:tcPr>
            <w:tcW w:type="dxa" w:w="1465"/>
          </w:tcPr>
          <w:p>
            <w:r>
              <w:t>Angle (°)</w:t>
            </w:r>
          </w:p>
        </w:tc>
        <w:tc>
          <w:tcPr>
            <w:tcW w:type="dxa" w:w="1465"/>
          </w:tcPr>
          <w:p>
            <w:r>
              <w:t>Ouverture racine (mm)</w:t>
            </w:r>
          </w:p>
        </w:tc>
        <w:tc>
          <w:tcPr>
            <w:tcW w:type="dxa" w:w="1465"/>
          </w:tcPr>
          <w:p>
            <w:r>
              <w:t>Méthode (meule/fraisage/oxy)</w:t>
            </w:r>
          </w:p>
        </w:tc>
        <w:tc>
          <w:tcPr>
            <w:tcW w:type="dxa" w:w="1465"/>
          </w:tcPr>
          <w:p>
            <w:r>
              <w:t>Rugosité/Rz</w:t>
            </w:r>
          </w:p>
        </w:tc>
        <w:tc>
          <w:tcPr>
            <w:tcW w:type="dxa" w:w="1465"/>
          </w:tcPr>
          <w:p>
            <w:r>
              <w:t>Réf. WPS</w:t>
            </w:r>
          </w:p>
        </w:tc>
      </w:tr>
      <w:tr>
        <w:tc>
          <w:tcPr>
            <w:tcW w:type="dxa" w:w="1465"/>
          </w:tcPr>
          <w:p>
            <w:r>
              <w:t>V simple</w:t>
            </w:r>
          </w:p>
        </w:tc>
        <w:tc>
          <w:tcPr>
            <w:tcW w:type="dxa" w:w="1465"/>
          </w:tcPr>
          <w:p>
            <w:r>
              <w:t>12</w:t>
            </w:r>
          </w:p>
        </w:tc>
        <w:tc>
          <w:tcPr>
            <w:tcW w:type="dxa" w:w="1465"/>
          </w:tcPr>
          <w:p>
            <w:r>
              <w:t>30–35</w:t>
            </w:r>
          </w:p>
        </w:tc>
        <w:tc>
          <w:tcPr>
            <w:tcW w:type="dxa" w:w="1465"/>
          </w:tcPr>
          <w:p>
            <w:r>
              <w:t>2.0</w:t>
            </w:r>
          </w:p>
        </w:tc>
        <w:tc>
          <w:tcPr>
            <w:tcW w:type="dxa" w:w="1465"/>
          </w:tcPr>
          <w:p>
            <w:r>
              <w:t>Fraisage</w:t>
            </w:r>
          </w:p>
        </w:tc>
        <w:tc>
          <w:tcPr>
            <w:tcW w:type="dxa" w:w="1465"/>
          </w:tcPr>
          <w:p>
            <w:r>
              <w:t>Rz ≤ 25 µm</w:t>
            </w:r>
          </w:p>
        </w:tc>
        <w:tc>
          <w:tcPr>
            <w:tcW w:type="dxa" w:w="1465"/>
          </w:tcPr>
          <w:p>
            <w:r>
              <w:t>WPS-12V-01</w:t>
            </w:r>
          </w:p>
        </w:tc>
      </w:tr>
      <w:tr>
        <w:tc>
          <w:tcPr>
            <w:tcW w:type="dxa" w:w="1465"/>
          </w:tcPr>
          <w:p>
            <w:r>
              <w:t>X (double V)</w:t>
            </w:r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</w:tr>
      <w:tr>
        <w:tc>
          <w:tcPr>
            <w:tcW w:type="dxa" w:w="1465"/>
          </w:tcPr>
          <w:p>
            <w:r>
              <w:t>U</w:t>
            </w:r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</w:tr>
      <w:tr>
        <w:tc>
          <w:tcPr>
            <w:tcW w:type="dxa" w:w="1465"/>
          </w:tcPr>
          <w:p>
            <w:r>
              <w:t>J</w:t>
            </w:r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</w:tr>
      <w:tr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  <w:tc>
          <w:tcPr>
            <w:tcW w:type="dxa" w:w="1465"/>
          </w:tcPr>
          <w:p>
            <w:r/>
          </w:p>
        </w:tc>
      </w:tr>
    </w:tbl>
    <w:p/>
    <w:p>
      <w:r>
        <w:rPr>
          <w:b/>
        </w:rPr>
        <w:t>9. Nettoyage &amp; inspection visuelle initiale (VT)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Étape</w:t>
            </w:r>
          </w:p>
        </w:tc>
        <w:tc>
          <w:tcPr>
            <w:tcW w:type="dxa" w:w="3419"/>
          </w:tcPr>
          <w:p>
            <w:r>
              <w:t>À faire</w:t>
            </w:r>
          </w:p>
        </w:tc>
        <w:tc>
          <w:tcPr>
            <w:tcW w:type="dxa" w:w="3419"/>
          </w:tcPr>
          <w:p>
            <w:r>
              <w:t>Visa / Date</w:t>
            </w:r>
          </w:p>
        </w:tc>
      </w:tr>
      <w:tr>
        <w:tc>
          <w:tcPr>
            <w:tcW w:type="dxa" w:w="3419"/>
          </w:tcPr>
          <w:p>
            <w:r>
              <w:t>Dégraissage</w:t>
            </w:r>
          </w:p>
        </w:tc>
        <w:tc>
          <w:tcPr>
            <w:tcW w:type="dxa" w:w="3419"/>
          </w:tcPr>
          <w:p>
            <w:r>
              <w:t>☐ Solvant adapté | ☐ Essuyage</w:t>
            </w:r>
          </w:p>
        </w:tc>
        <w:tc>
          <w:tcPr>
            <w:tcW w:type="dxa" w:w="3419"/>
          </w:tcPr>
          <w:p/>
        </w:tc>
      </w:tr>
      <w:tr>
        <w:tc>
          <w:tcPr>
            <w:tcW w:type="dxa" w:w="3419"/>
          </w:tcPr>
          <w:p>
            <w:r>
              <w:t>Ébarbage</w:t>
            </w:r>
          </w:p>
        </w:tc>
        <w:tc>
          <w:tcPr>
            <w:tcW w:type="dxa" w:w="3419"/>
          </w:tcPr>
          <w:p>
            <w:r>
              <w:t>☐ Arêtes vives supprimées | ☐ Rayures profondes absentes</w:t>
            </w:r>
          </w:p>
        </w:tc>
        <w:tc>
          <w:tcPr>
            <w:tcW w:type="dxa" w:w="3419"/>
          </w:tcPr>
          <w:p/>
        </w:tc>
      </w:tr>
      <w:tr>
        <w:tc>
          <w:tcPr>
            <w:tcW w:type="dxa" w:w="3419"/>
          </w:tcPr>
          <w:p>
            <w:r>
              <w:t>Oxydes/Calamine</w:t>
            </w:r>
          </w:p>
        </w:tc>
        <w:tc>
          <w:tcPr>
            <w:tcW w:type="dxa" w:w="3419"/>
          </w:tcPr>
          <w:p>
            <w:r>
              <w:t>☐ Élimination zone ≥ 10 mm de chaque bord</w:t>
            </w:r>
          </w:p>
        </w:tc>
        <w:tc>
          <w:tcPr>
            <w:tcW w:type="dxa" w:w="3419"/>
          </w:tcPr>
          <w:p/>
        </w:tc>
      </w:tr>
      <w:tr>
        <w:tc>
          <w:tcPr>
            <w:tcW w:type="dxa" w:w="3419"/>
          </w:tcPr>
          <w:p>
            <w:r>
              <w:t>Planéité</w:t>
            </w:r>
          </w:p>
        </w:tc>
        <w:tc>
          <w:tcPr>
            <w:tcW w:type="dxa" w:w="3419"/>
          </w:tcPr>
          <w:p>
            <w:r>
              <w:t>☐ Contrôlée (règle/feeler)</w:t>
            </w:r>
          </w:p>
        </w:tc>
        <w:tc>
          <w:tcPr>
            <w:tcW w:type="dxa" w:w="3419"/>
          </w:tcPr>
          <w:p/>
        </w:tc>
      </w:tr>
      <w:tr>
        <w:tc>
          <w:tcPr>
            <w:tcW w:type="dxa" w:w="3419"/>
          </w:tcPr>
          <w:p>
            <w:r>
              <w:t>Traçabilité</w:t>
            </w:r>
          </w:p>
        </w:tc>
        <w:tc>
          <w:tcPr>
            <w:tcW w:type="dxa" w:w="3419"/>
          </w:tcPr>
          <w:p>
            <w:r>
              <w:t>☐ N° lot matière gravé / marqué</w:t>
            </w:r>
          </w:p>
        </w:tc>
        <w:tc>
          <w:tcPr>
            <w:tcW w:type="dxa" w:w="3419"/>
          </w:tcPr>
          <w:p/>
        </w:tc>
      </w:tr>
    </w:tbl>
    <w:p/>
    <w:p>
      <w:r>
        <w:rPr>
          <w:b/>
        </w:rPr>
        <w:t>10. Assemblage avant soudure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Contrôle</w:t>
            </w:r>
          </w:p>
        </w:tc>
        <w:tc>
          <w:tcPr>
            <w:tcW w:type="dxa" w:w="2564"/>
          </w:tcPr>
          <w:p>
            <w:r>
              <w:t>Critère / Tolérance</w:t>
            </w:r>
          </w:p>
        </w:tc>
        <w:tc>
          <w:tcPr>
            <w:tcW w:type="dxa" w:w="2564"/>
          </w:tcPr>
          <w:p>
            <w:r>
              <w:t>Méthode</w:t>
            </w:r>
          </w:p>
        </w:tc>
        <w:tc>
          <w:tcPr>
            <w:tcW w:type="dxa" w:w="2564"/>
          </w:tcPr>
          <w:p>
            <w:r>
              <w:t>Conforme (☐)</w:t>
            </w:r>
          </w:p>
        </w:tc>
      </w:tr>
      <w:tr>
        <w:tc>
          <w:tcPr>
            <w:tcW w:type="dxa" w:w="2564"/>
          </w:tcPr>
          <w:p>
            <w:r>
              <w:t>Alignement</w:t>
            </w:r>
          </w:p>
        </w:tc>
        <w:tc>
          <w:tcPr>
            <w:tcW w:type="dxa" w:w="2564"/>
          </w:tcPr>
          <w:p>
            <w:r>
              <w:t>Dévers ≤ [___] mm (ISO 13920)</w:t>
            </w:r>
          </w:p>
        </w:tc>
        <w:tc>
          <w:tcPr>
            <w:tcW w:type="dxa" w:w="2564"/>
          </w:tcPr>
          <w:p>
            <w:r>
              <w:t>Règle, jauge d’alignement</w:t>
            </w:r>
          </w:p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>
            <w:r>
              <w:t>Jeu racine</w:t>
            </w:r>
          </w:p>
        </w:tc>
        <w:tc>
          <w:tcPr>
            <w:tcW w:type="dxa" w:w="2564"/>
          </w:tcPr>
          <w:p>
            <w:r>
              <w:t>[___] ± [___] mm (WPS)</w:t>
            </w:r>
          </w:p>
        </w:tc>
        <w:tc>
          <w:tcPr>
            <w:tcW w:type="dxa" w:w="2564"/>
          </w:tcPr>
          <w:p>
            <w:r>
              <w:t>Jauges d’épaisseur</w:t>
            </w:r>
          </w:p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>
            <w:r>
              <w:t>Bridage</w:t>
            </w:r>
          </w:p>
        </w:tc>
        <w:tc>
          <w:tcPr>
            <w:tcW w:type="dxa" w:w="2564"/>
          </w:tcPr>
          <w:p>
            <w:r>
              <w:t>Sans contrainte excessive</w:t>
            </w:r>
          </w:p>
        </w:tc>
        <w:tc>
          <w:tcPr>
            <w:tcW w:type="dxa" w:w="2564"/>
          </w:tcPr>
          <w:p>
            <w:r>
              <w:t>Inspection visuelle</w:t>
            </w:r>
          </w:p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>
            <w:r>
              <w:t>Pointage</w:t>
            </w:r>
          </w:p>
        </w:tc>
        <w:tc>
          <w:tcPr>
            <w:tcW w:type="dxa" w:w="2564"/>
          </w:tcPr>
          <w:p>
            <w:r>
              <w:t>Espacement [___] mm, Longueur [___] mm</w:t>
            </w:r>
          </w:p>
        </w:tc>
        <w:tc>
          <w:tcPr>
            <w:tcW w:type="dxa" w:w="2564"/>
          </w:tcPr>
          <w:p>
            <w:r>
              <w:t>Règle + gabarit</w:t>
            </w:r>
          </w:p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>
            <w:r>
              <w:t>Propreté joint</w:t>
            </w:r>
          </w:p>
        </w:tc>
        <w:tc>
          <w:tcPr>
            <w:tcW w:type="dxa" w:w="2564"/>
          </w:tcPr>
          <w:p>
            <w:r>
              <w:t>Zone 10–20 mm propre de chaque côté</w:t>
            </w:r>
          </w:p>
        </w:tc>
        <w:tc>
          <w:tcPr>
            <w:tcW w:type="dxa" w:w="2564"/>
          </w:tcPr>
          <w:p>
            <w:r>
              <w:t>VT + chiffon</w:t>
            </w:r>
          </w:p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>
            <w:r>
              <w:t>Symboles soudage</w:t>
            </w:r>
          </w:p>
        </w:tc>
        <w:tc>
          <w:tcPr>
            <w:tcW w:type="dxa" w:w="2564"/>
          </w:tcPr>
          <w:p>
            <w:r>
              <w:t>Conformité plan (ISO 2553)</w:t>
            </w:r>
          </w:p>
        </w:tc>
        <w:tc>
          <w:tcPr>
            <w:tcW w:type="dxa" w:w="2564"/>
          </w:tcPr>
          <w:p>
            <w:r>
              <w:t>Plan / marquage</w:t>
            </w:r>
          </w:p>
        </w:tc>
        <w:tc>
          <w:tcPr>
            <w:tcW w:type="dxa" w:w="2564"/>
          </w:tcPr>
          <w:p/>
        </w:tc>
      </w:tr>
    </w:tbl>
    <w:p/>
    <w:p>
      <w:r>
        <w:rPr>
          <w:b/>
        </w:rPr>
        <w:t>11. Contrôles avant soudage — Libération à la soudure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Vérification</w:t>
            </w:r>
          </w:p>
        </w:tc>
        <w:tc>
          <w:tcPr>
            <w:tcW w:type="dxa" w:w="3419"/>
          </w:tcPr>
          <w:p>
            <w:r>
              <w:t>Oui/Non</w:t>
            </w:r>
          </w:p>
        </w:tc>
        <w:tc>
          <w:tcPr>
            <w:tcW w:type="dxa" w:w="3419"/>
          </w:tcPr>
          <w:p>
            <w:r>
              <w:t>Visa / Date</w:t>
            </w:r>
          </w:p>
        </w:tc>
      </w:tr>
      <w:tr>
        <w:tc>
          <w:tcPr>
            <w:tcW w:type="dxa" w:w="3419"/>
          </w:tcPr>
          <w:p>
            <w:r>
              <w:t>WPS applicable et disponible au poste</w:t>
            </w:r>
          </w:p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  <w:tr>
        <w:tc>
          <w:tcPr>
            <w:tcW w:type="dxa" w:w="3419"/>
          </w:tcPr>
          <w:p>
            <w:r>
              <w:t>Qualification soudeur (ISO 9606-1) à jour</w:t>
            </w:r>
          </w:p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  <w:tr>
        <w:tc>
          <w:tcPr>
            <w:tcW w:type="dxa" w:w="3419"/>
          </w:tcPr>
          <w:p>
            <w:r>
              <w:t>Conditions env. (T°, courant d’air) conformes</w:t>
            </w:r>
          </w:p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  <w:tr>
        <w:tc>
          <w:tcPr>
            <w:tcW w:type="dxa" w:w="3419"/>
          </w:tcPr>
          <w:p>
            <w:r>
              <w:t>Matériaux / fils / gaz selon WPS</w:t>
            </w:r>
          </w:p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  <w:tr>
        <w:tc>
          <w:tcPr>
            <w:tcW w:type="dxa" w:w="3419"/>
          </w:tcPr>
          <w:p>
            <w:r>
              <w:t>Gabarits / brides retirés si requis</w:t>
            </w:r>
          </w:p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</w:tbl>
    <w:p/>
    <w:p>
      <w:r>
        <w:rPr>
          <w:b/>
        </w:rPr>
        <w:t>12. Enregistrements &amp; traçabilité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Lot pièce / N° série</w:t>
            </w:r>
          </w:p>
        </w:tc>
        <w:tc>
          <w:tcPr>
            <w:tcW w:type="dxa" w:w="2564"/>
          </w:tcPr>
          <w:p>
            <w:r>
              <w:t>Nuance / Épaisseur</w:t>
            </w:r>
          </w:p>
        </w:tc>
        <w:tc>
          <w:tcPr>
            <w:tcW w:type="dxa" w:w="2564"/>
          </w:tcPr>
          <w:p>
            <w:r>
              <w:t>N° coulée / Heat</w:t>
            </w:r>
          </w:p>
        </w:tc>
        <w:tc>
          <w:tcPr>
            <w:tcW w:type="dxa" w:w="2564"/>
          </w:tcPr>
          <w:p>
            <w:r>
              <w:t>Observation</w:t>
            </w:r>
          </w:p>
        </w:tc>
      </w:tr>
      <w:tr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  <w:tc>
          <w:tcPr>
            <w:tcW w:type="dxa" w:w="2564"/>
          </w:tcPr>
          <w:p>
            <w:r/>
          </w:p>
        </w:tc>
      </w:tr>
    </w:tbl>
    <w:p/>
    <w:p>
      <w:r>
        <w:rPr>
          <w:b/>
        </w:rPr>
        <w:t>13. Critères d’acceptation (exemples — à adapter)</w:t>
      </w:r>
    </w:p>
    <w:p>
      <w:r>
        <w:t>• Qualité selon ISO 5817 (niveau: B / C / D selon exigence du plan)</w:t>
        <w:br/>
        <w:t>• Tolérances d’assemblage selon ISO 13920</w:t>
        <w:br/>
        <w:t>• Surface chanfreinée: rayures profondes interdites, bavures éliminées</w:t>
        <w:br/>
        <w:t>• Jeu racine / angle de chanfrein / alignement conformément au WPS</w:t>
      </w:r>
    </w:p>
    <w:p/>
    <w:p>
      <w:r>
        <w:rPr>
          <w:b/>
        </w:rPr>
        <w:t>14. Gestion des non-conformités</w:t>
      </w:r>
    </w:p>
    <w:p>
      <w:r>
        <w:t>Toute non-conformité détectée avant soudure doit être consignée (fiche NC), isolée et traitée selon le processus QRQC/8D. Réparation / retouche autorisée uniquement après validation QC.</w:t>
      </w:r>
    </w:p>
    <w:p/>
    <w:p>
      <w:r>
        <w:rPr>
          <w:b/>
        </w:rPr>
        <w:t>15. Visas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Préparateur</w:t>
            </w:r>
          </w:p>
        </w:tc>
        <w:tc>
          <w:tcPr>
            <w:tcW w:type="dxa" w:w="3419"/>
          </w:tcPr>
          <w:p>
            <w:r>
              <w:t>Contrôle (QC)</w:t>
            </w:r>
          </w:p>
        </w:tc>
        <w:tc>
          <w:tcPr>
            <w:tcW w:type="dxa" w:w="3419"/>
          </w:tcPr>
          <w:p>
            <w:r>
              <w:t>Superviseur / Approbateur</w:t>
            </w:r>
          </w:p>
        </w:tc>
      </w:tr>
      <w:tr>
        <w:tc>
          <w:tcPr>
            <w:tcW w:type="dxa" w:w="3419"/>
          </w:tcPr>
          <w:p>
            <w:r>
              <w:t>Nom, Signature, Date :</w:t>
            </w:r>
          </w:p>
        </w:tc>
        <w:tc>
          <w:tcPr>
            <w:tcW w:type="dxa" w:w="3419"/>
          </w:tcPr>
          <w:p>
            <w:r>
              <w:t>Nom, Signature, Date :</w:t>
            </w:r>
          </w:p>
        </w:tc>
        <w:tc>
          <w:tcPr>
            <w:tcW w:type="dxa" w:w="3419"/>
          </w:tcPr>
          <w:p>
            <w:r>
              <w:t>Nom, Signature, Date :</w:t>
            </w:r>
          </w:p>
        </w:tc>
      </w:tr>
      <w:tr>
        <w:tc>
          <w:tcPr>
            <w:tcW w:type="dxa" w:w="3419"/>
          </w:tcPr>
          <w:p>
            <w:r/>
          </w:p>
        </w:tc>
        <w:tc>
          <w:tcPr>
            <w:tcW w:type="dxa" w:w="3419"/>
          </w:tcPr>
          <w:p>
            <w:r/>
          </w:p>
        </w:tc>
        <w:tc>
          <w:tcPr>
            <w:tcW w:type="dxa" w:w="3419"/>
          </w:tcPr>
          <w:p>
            <w:r/>
          </w:p>
        </w:tc>
      </w:tr>
    </w:tbl>
    <w:p>
      <w:r>
        <w:t xml:space="preserve"> </w:t>
      </w:r>
    </w:p>
    <w:p>
      <w:r>
        <w:rPr>
          <w:b/>
        </w:rPr>
        <w:t>16. Historique des révisions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Version</w:t>
            </w:r>
          </w:p>
        </w:tc>
        <w:tc>
          <w:tcPr>
            <w:tcW w:type="dxa" w:w="2051"/>
          </w:tcPr>
          <w:p>
            <w:r>
              <w:t>Date</w:t>
            </w:r>
          </w:p>
        </w:tc>
        <w:tc>
          <w:tcPr>
            <w:tcW w:type="dxa" w:w="2051"/>
          </w:tcPr>
          <w:p>
            <w:r>
              <w:t>Modification</w:t>
            </w:r>
          </w:p>
        </w:tc>
        <w:tc>
          <w:tcPr>
            <w:tcW w:type="dxa" w:w="2051"/>
          </w:tcPr>
          <w:p>
            <w:r>
              <w:t>Auteur</w:t>
            </w:r>
          </w:p>
        </w:tc>
        <w:tc>
          <w:tcPr>
            <w:tcW w:type="dxa" w:w="2051"/>
          </w:tcPr>
          <w:p>
            <w:r>
              <w:t>Approbation</w:t>
            </w:r>
          </w:p>
        </w:tc>
      </w:tr>
      <w:tr>
        <w:tc>
          <w:tcPr>
            <w:tcW w:type="dxa" w:w="2051"/>
          </w:tcPr>
          <w:p>
            <w:r>
              <w:t>v1.0</w:t>
            </w:r>
          </w:p>
        </w:tc>
        <w:tc>
          <w:tcPr>
            <w:tcW w:type="dxa" w:w="2051"/>
          </w:tcPr>
          <w:p>
            <w:r>
              <w:t>____/____/______</w:t>
            </w:r>
          </w:p>
        </w:tc>
        <w:tc>
          <w:tcPr>
            <w:tcW w:type="dxa" w:w="2051"/>
          </w:tcPr>
          <w:p>
            <w:r>
              <w:t>Création du document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850" w:right="850" w:bottom="850" w:left="1134" w:header="283" w:footer="39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Document contrôlé – Impression à usage industriel | Réf. [SOP-SUD-PR-XXX]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left"/>
      <w:tblLayout w:type="autofit"/>
      <w:tblLook w:firstColumn="1" w:firstRow="1" w:lastColumn="0" w:lastRow="0" w:noHBand="0" w:noVBand="1" w:val="04A0"/>
    </w:tblPr>
    <w:tblGrid>
      <w:gridCol w:w="3969"/>
      <w:gridCol w:w="3969"/>
      <w:gridCol w:w="3969"/>
    </w:tblGrid>
    <w:tr>
      <w:tc>
        <w:tcPr>
          <w:tcW w:type="dxa" w:w="3969"/>
          <w:shd w:val="clear" w:color="auto" w:fill="EAF2F8"/>
        </w:tcPr>
        <w:p>
          <w:pPr>
            <w:jc w:val="left"/>
          </w:pPr>
          <w:r>
            <w:t>LOGO</w:t>
            <w:br/>
            <w:t>Société : [Nom]</w:t>
          </w:r>
        </w:p>
      </w:tc>
      <w:tc>
        <w:tcPr>
          <w:tcW w:type="dxa" w:w="3969"/>
          <w:shd w:val="clear" w:color="auto" w:fill="FFFFFF"/>
        </w:tcPr>
        <w:p>
          <w:pPr>
            <w:jc w:val="center"/>
          </w:pPr>
          <w:r>
            <w:rPr>
              <w:b/>
            </w:rPr>
            <w:t>SOP — Préparation des chanfreins &amp; assemblage avant soudure</w:t>
          </w:r>
        </w:p>
      </w:tc>
      <w:tc>
        <w:tcPr>
          <w:tcW w:type="dxa" w:w="3969"/>
          <w:shd w:val="clear" w:color="auto" w:fill="EAF2F8"/>
        </w:tcPr>
        <w:p>
          <w:pPr>
            <w:jc w:val="right"/>
          </w:pPr>
          <w:r>
            <w:rPr>
              <w:b/>
            </w:rPr>
            <w:t xml:space="preserve">Code : </w:t>
          </w:r>
          <w:r>
            <w:t>[SOP-SUD-PR-XXX]</w:t>
            <w:br/>
          </w:r>
          <w:r>
            <w:rPr>
              <w:b/>
            </w:rPr>
            <w:t xml:space="preserve">Version : </w:t>
          </w:r>
          <w:r>
            <w:t>v1.0</w:t>
            <w:br/>
          </w:r>
          <w:r>
            <w:rPr>
              <w:b/>
            </w:rPr>
            <w:t xml:space="preserve">Date : </w:t>
          </w:r>
          <w:r>
            <w:t>____/____/______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