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0F172A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RÉFÉRENTIEL DE COMPÉTENCES — GESTION DE PROJET (v1.0)</w:t>
            </w:r>
          </w:p>
        </w:tc>
      </w:tr>
    </w:tbl>
    <w:p>
      <w:pPr>
        <w:jc w:val="center"/>
      </w:pPr>
      <w:r>
        <w:rPr>
          <w:sz w:val="18"/>
        </w:rPr>
        <w:t>Niveaux • Indicateurs • Évaluation • Preuves • Plan de développement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Organisation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____________________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Périmètre rôle (ex. Chef de projet/PMO/PO)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____________________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Auteur/Révision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____________________</w:t>
            </w:r>
          </w:p>
        </w:tc>
      </w:tr>
      <w:tr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Date de mise à jour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__/__/____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Référence méthodo (PMBOK/PRINCE2/Agile)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____________________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Version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1.0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4B8A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A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Légende des niveaux (L1–L4)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L1 Débutant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L2 Intermédiaire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L3 Confirmé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L4 Expert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Connaissances de base, besoin d’encadrement.</w:t>
            </w:r>
          </w:p>
        </w:tc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Autonomie partielle, applique méthodes avec support.</w:t>
            </w:r>
          </w:p>
        </w:tc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Autonome, anticipe, pilote des sujets complexes.</w:t>
            </w:r>
          </w:p>
        </w:tc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Référence, conçoit/optimise, forme et influence à l’échelle.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6366F1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B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Scorecard par domaine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>
        <w:tc>
          <w:tcPr>
            <w:tcW w:type="dxa" w:w="1543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Domaine</w:t>
            </w:r>
          </w:p>
        </w:tc>
        <w:tc>
          <w:tcPr>
            <w:tcW w:type="dxa" w:w="1543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Niveau cible</w:t>
            </w:r>
          </w:p>
        </w:tc>
        <w:tc>
          <w:tcPr>
            <w:tcW w:type="dxa" w:w="1543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Niveau évalué</w:t>
            </w:r>
          </w:p>
        </w:tc>
        <w:tc>
          <w:tcPr>
            <w:tcW w:type="dxa" w:w="1543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Écart</w:t>
            </w:r>
          </w:p>
        </w:tc>
        <w:tc>
          <w:tcPr>
            <w:tcW w:type="dxa" w:w="1543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Priorité (H/M/B)</w:t>
            </w:r>
          </w:p>
        </w:tc>
        <w:tc>
          <w:tcPr>
            <w:tcW w:type="dxa" w:w="1543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Plan d’action</w:t>
            </w:r>
          </w:p>
        </w:tc>
        <w:tc>
          <w:tcPr>
            <w:tcW w:type="dxa" w:w="1543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Échéance</w:t>
            </w:r>
          </w:p>
        </w:tc>
      </w:tr>
      <w:tr>
        <w:tc>
          <w:tcPr>
            <w:tcW w:type="dxa" w:w="1543"/>
          </w:tcPr>
          <w:p>
            <w:r>
              <w:t>Gouvernance &amp; leadership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  <w:tr>
        <w:tc>
          <w:tcPr>
            <w:tcW w:type="dxa" w:w="1543"/>
          </w:tcPr>
          <w:p>
            <w:r>
              <w:t>Cadrage &amp; périmètre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  <w:tr>
        <w:tc>
          <w:tcPr>
            <w:tcW w:type="dxa" w:w="1543"/>
          </w:tcPr>
          <w:p>
            <w:r>
              <w:t>Planification coûts/délais/ressources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  <w:tr>
        <w:tc>
          <w:tcPr>
            <w:tcW w:type="dxa" w:w="1543"/>
          </w:tcPr>
          <w:p>
            <w:r>
              <w:t>Pilotage &amp; exécution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  <w:tr>
        <w:tc>
          <w:tcPr>
            <w:tcW w:type="dxa" w:w="1543"/>
          </w:tcPr>
          <w:p>
            <w:r>
              <w:t>Parties prenantes &amp; com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  <w:tr>
        <w:tc>
          <w:tcPr>
            <w:tcW w:type="dxa" w:w="1543"/>
          </w:tcPr>
          <w:p>
            <w:r>
              <w:t>Risques &amp; qualité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  <w:tr>
        <w:tc>
          <w:tcPr>
            <w:tcW w:type="dxa" w:w="1543"/>
          </w:tcPr>
          <w:p>
            <w:r>
              <w:t>Méthodes Agile/hybride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  <w:tr>
        <w:tc>
          <w:tcPr>
            <w:tcW w:type="dxa" w:w="1543"/>
          </w:tcPr>
          <w:p>
            <w:r>
              <w:t>Outils &amp; data (PMIS)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  <w:tr>
        <w:tc>
          <w:tcPr>
            <w:tcW w:type="dxa" w:w="1543"/>
          </w:tcPr>
          <w:p>
            <w:r>
              <w:t>Achats &amp; contrats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  <w:tr>
        <w:tc>
          <w:tcPr>
            <w:tcW w:type="dxa" w:w="1543"/>
          </w:tcPr>
          <w:p>
            <w:r>
              <w:t>Clôture &amp; REX</w:t>
            </w:r>
          </w:p>
        </w:tc>
        <w:tc>
          <w:tcPr>
            <w:tcW w:type="dxa" w:w="1543"/>
          </w:tcPr>
          <w:p>
            <w:r>
              <w:t>L3</w:t>
            </w:r>
          </w:p>
        </w:tc>
        <w:tc>
          <w:tcPr>
            <w:tcW w:type="dxa" w:w="1543"/>
          </w:tcPr>
          <w:p>
            <w:r>
              <w:t>L__</w:t>
            </w:r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/>
          </w:p>
        </w:tc>
        <w:tc>
          <w:tcPr>
            <w:tcW w:type="dxa" w:w="1543"/>
          </w:tcPr>
          <w:p>
            <w:r>
              <w:t>__/__/____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0EA5E9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Gouvernance &amp; leadership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Définir vision &amp; objectifs mesurables</w:t>
            </w:r>
          </w:p>
        </w:tc>
        <w:tc>
          <w:tcPr>
            <w:tcW w:type="dxa" w:w="1800"/>
          </w:tcPr>
          <w:p>
            <w:r>
              <w:t>Fixe OKRs alignés aux priorités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Arbitrer &amp; prioriser le portefeuille</w:t>
            </w:r>
          </w:p>
        </w:tc>
        <w:tc>
          <w:tcPr>
            <w:tcW w:type="dxa" w:w="1800"/>
          </w:tcPr>
          <w:p>
            <w:r>
              <w:t>Maintient la cadence des comités avec décisions tracées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Animer comités (COPIL/COPROJ)</w:t>
            </w:r>
          </w:p>
        </w:tc>
        <w:tc>
          <w:tcPr>
            <w:tcW w:type="dxa" w:w="1800"/>
          </w:tcPr>
          <w:p>
            <w:r>
              <w:t>Gère les arbitrages multi‑équipes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4B8A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2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Cadrage &amp; périmètre (Initiation/Scope)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Rédiger charte projet &amp; business case</w:t>
            </w:r>
          </w:p>
        </w:tc>
        <w:tc>
          <w:tcPr>
            <w:tcW w:type="dxa" w:w="1800"/>
          </w:tcPr>
          <w:p>
            <w:r>
              <w:t>Charte validée avec hypothèses &amp; contraintes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Collecter exigences &amp; définir périmètre</w:t>
            </w:r>
          </w:p>
        </w:tc>
        <w:tc>
          <w:tcPr>
            <w:tcW w:type="dxa" w:w="1800"/>
          </w:tcPr>
          <w:p>
            <w:r>
              <w:t>Périmètre tracé + gestion des écarts (change log)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Structurer WBS / PBS</w:t>
            </w:r>
          </w:p>
        </w:tc>
        <w:tc>
          <w:tcPr>
            <w:tcW w:type="dxa" w:w="1800"/>
          </w:tcPr>
          <w:p>
            <w:r>
              <w:t>WBS jusqu’au niveau paquet de travail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6366F1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3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Planification (coûts/délais/ressources)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Construire planning (chemin critique)</w:t>
            </w:r>
          </w:p>
        </w:tc>
        <w:tc>
          <w:tcPr>
            <w:tcW w:type="dxa" w:w="1800"/>
          </w:tcPr>
          <w:p>
            <w:r>
              <w:t>Planning Gantt + chemin critique identifié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Estimer coûts &amp; budget (EVM bases)</w:t>
            </w:r>
          </w:p>
        </w:tc>
        <w:tc>
          <w:tcPr>
            <w:tcW w:type="dxa" w:w="1800"/>
          </w:tcPr>
          <w:p>
            <w:r>
              <w:t>Budget base‑line + suivi EVM (CPI/SPI)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Plan ressources &amp; capacité</w:t>
            </w:r>
          </w:p>
        </w:tc>
        <w:tc>
          <w:tcPr>
            <w:tcW w:type="dxa" w:w="1800"/>
          </w:tcPr>
          <w:p>
            <w:r>
              <w:t>Plan de charge réaliste par compétence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59E0B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4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Pilotage &amp; exécution d’équipe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Daily/rituels, management visuel</w:t>
            </w:r>
          </w:p>
        </w:tc>
        <w:tc>
          <w:tcPr>
            <w:tcW w:type="dxa" w:w="1800"/>
          </w:tcPr>
          <w:p>
            <w:r>
              <w:t>Stand‑ups utiles, obstacles enlevés &lt; 24h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Résolution problèmes, décisions rapides</w:t>
            </w:r>
          </w:p>
        </w:tc>
        <w:tc>
          <w:tcPr>
            <w:tcW w:type="dxa" w:w="1800"/>
          </w:tcPr>
          <w:p>
            <w:r>
              <w:t>Kanban/sprints respectés, Definition of Done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Gestion des changements (change control)</w:t>
            </w:r>
          </w:p>
        </w:tc>
        <w:tc>
          <w:tcPr>
            <w:tcW w:type="dxa" w:w="1800"/>
          </w:tcPr>
          <w:p>
            <w:r>
              <w:t>Processus de change formalisé &amp; rapide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EC4899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5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Parties prenantes &amp; communication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Cartographier stakeholders &amp; attentes</w:t>
            </w:r>
          </w:p>
        </w:tc>
        <w:tc>
          <w:tcPr>
            <w:tcW w:type="dxa" w:w="1800"/>
          </w:tcPr>
          <w:p>
            <w:r>
              <w:t>Stakeholder map &amp; plan de com diffusé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Plan de com (cibles, canaux, fréquence)</w:t>
            </w:r>
          </w:p>
        </w:tc>
        <w:tc>
          <w:tcPr>
            <w:tcW w:type="dxa" w:w="1800"/>
          </w:tcPr>
          <w:p>
            <w:r>
              <w:t>Messages adaptés (sponsor vs équipe)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Gestion des conflits &amp; négociation</w:t>
            </w:r>
          </w:p>
        </w:tc>
        <w:tc>
          <w:tcPr>
            <w:tcW w:type="dxa" w:w="1800"/>
          </w:tcPr>
          <w:p>
            <w:r>
              <w:t>Conflits traités tôt, médiation efficace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84CC1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6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Risques &amp; qualité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Registre risques (prob./impact/plan)</w:t>
            </w:r>
          </w:p>
        </w:tc>
        <w:tc>
          <w:tcPr>
            <w:tcW w:type="dxa" w:w="1800"/>
          </w:tcPr>
          <w:p>
            <w:r>
              <w:t>Top 10 risques avec owner &amp; plan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Plan qualité &amp; critères d’acceptation</w:t>
            </w:r>
          </w:p>
        </w:tc>
        <w:tc>
          <w:tcPr>
            <w:tcW w:type="dxa" w:w="1800"/>
          </w:tcPr>
          <w:p>
            <w:r>
              <w:t>Critères qualité/test d’acceptation définis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Suivi actions &amp; audits</w:t>
            </w:r>
          </w:p>
        </w:tc>
        <w:tc>
          <w:tcPr>
            <w:tcW w:type="dxa" w:w="1800"/>
          </w:tcPr>
          <w:p>
            <w:r>
              <w:t>Audits/QA menés, NCR traitées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06B6D4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7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Méthodes &amp; pratiques (Agile/Hybride)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Cadres Scrum/Kanban, vélocité</w:t>
            </w:r>
          </w:p>
        </w:tc>
        <w:tc>
          <w:tcPr>
            <w:tcW w:type="dxa" w:w="1800"/>
          </w:tcPr>
          <w:p>
            <w:r>
              <w:t>Roadmap découpée en incréments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Découpage en user stories/épic</w:t>
            </w:r>
          </w:p>
        </w:tc>
        <w:tc>
          <w:tcPr>
            <w:tcW w:type="dxa" w:w="1800"/>
          </w:tcPr>
          <w:p>
            <w:r>
              <w:t>Backlog priorisé (WSJF/MoSCoW)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Hybridation (phase‑gate + agile)</w:t>
            </w:r>
          </w:p>
        </w:tc>
        <w:tc>
          <w:tcPr>
            <w:tcW w:type="dxa" w:w="1800"/>
          </w:tcPr>
          <w:p>
            <w:r>
              <w:t>Mix stage‑gate/agile adapté au contexte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A855F7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8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Outils &amp; data (PMIS, BI)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Plan de management (templates)</w:t>
            </w:r>
          </w:p>
        </w:tc>
        <w:tc>
          <w:tcPr>
            <w:tcW w:type="dxa" w:w="1800"/>
          </w:tcPr>
          <w:p>
            <w:r>
              <w:t>Templates uniformisés (plan, RACI, RAID)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Jira/MS Project/Planner : maîtrise</w:t>
            </w:r>
          </w:p>
        </w:tc>
        <w:tc>
          <w:tcPr>
            <w:tcW w:type="dxa" w:w="1800"/>
          </w:tcPr>
          <w:p>
            <w:r>
              <w:t>Jira/Project : workflows &amp; rapports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Tableaux de bord &amp; KPIs (EVM, burn‑down)</w:t>
            </w:r>
          </w:p>
        </w:tc>
        <w:tc>
          <w:tcPr>
            <w:tcW w:type="dxa" w:w="1800"/>
          </w:tcPr>
          <w:p>
            <w:r>
              <w:t>KPIs suivis (CPI/SPI, burn‑down/up)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9731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9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Achats &amp; contrats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Stratégie make/buy &amp; sourcing</w:t>
            </w:r>
          </w:p>
        </w:tc>
        <w:tc>
          <w:tcPr>
            <w:tcW w:type="dxa" w:w="1800"/>
          </w:tcPr>
          <w:p>
            <w:r>
              <w:t>Dossier de consultation &amp; critères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Rédiger SOW/contrats (T&amp;M, forfait)</w:t>
            </w:r>
          </w:p>
        </w:tc>
        <w:tc>
          <w:tcPr>
            <w:tcW w:type="dxa" w:w="1800"/>
          </w:tcPr>
          <w:p>
            <w:r>
              <w:t>Clauses clés (propriété, pénalités, SLA)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Suivre fournisseurs &amp; pénalités</w:t>
            </w:r>
          </w:p>
        </w:tc>
        <w:tc>
          <w:tcPr>
            <w:tcW w:type="dxa" w:w="1800"/>
          </w:tcPr>
          <w:p>
            <w:r>
              <w:t>Revue fournisseurs périodique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10B981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10</w:t>
            </w:r>
          </w:p>
        </w:tc>
        <w:tc>
          <w:tcPr>
            <w:tcW w:type="dxa" w:w="5400"/>
            <w:shd w:val="clear" w:color="auto" w:fill="EEF2FF"/>
            <w:tcMar>
              <w:top w:w="90" w:type="dxa"/>
              <w:start w:w="180" w:type="dxa"/>
              <w:bottom w:w="90" w:type="dxa"/>
              <w:end w:w="180" w:type="dxa"/>
            </w:tcMar>
          </w:tcPr>
          <w:p>
            <w:r>
              <w:rPr>
                <w:b/>
                <w:sz w:val="22"/>
              </w:rPr>
              <w:t>Clôture &amp; retour d’expérience (REX)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Compétence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Indicateurs comportementaux (exemples)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Niv. visé (L1–L4)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Auto‑éval.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Éval. manager</w:t>
            </w:r>
          </w:p>
        </w:tc>
        <w:tc>
          <w:tcPr>
            <w:tcW w:type="dxa" w:w="18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Preuves / Livrables</w:t>
            </w:r>
          </w:p>
        </w:tc>
      </w:tr>
      <w:tr>
        <w:tc>
          <w:tcPr>
            <w:tcW w:type="dxa" w:w="1800"/>
          </w:tcPr>
          <w:p>
            <w:r>
              <w:t>Vérifier livrables &amp; acceptation</w:t>
            </w:r>
          </w:p>
        </w:tc>
        <w:tc>
          <w:tcPr>
            <w:tcW w:type="dxa" w:w="1800"/>
          </w:tcPr>
          <w:p>
            <w:r>
              <w:t>Procès‑verbal d’acceptation signé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Bilan projet &amp; leçons apprises</w:t>
            </w:r>
          </w:p>
        </w:tc>
        <w:tc>
          <w:tcPr>
            <w:tcW w:type="dxa" w:w="1800"/>
          </w:tcPr>
          <w:p>
            <w:r>
              <w:t>Atelier REX avec faits &amp; actions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Capitaliser (knowledge base)</w:t>
            </w:r>
          </w:p>
        </w:tc>
        <w:tc>
          <w:tcPr>
            <w:tcW w:type="dxa" w:w="1800"/>
          </w:tcPr>
          <w:p>
            <w:r>
              <w:t>Capitalisation dans la base de connaissances</w:t>
            </w:r>
          </w:p>
        </w:tc>
        <w:tc>
          <w:tcPr>
            <w:tcW w:type="dxa" w:w="1800"/>
          </w:tcPr>
          <w:p>
            <w:r>
              <w:t>L3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L__</w:t>
            </w:r>
          </w:p>
        </w:tc>
        <w:tc>
          <w:tcPr>
            <w:tcW w:type="dxa" w:w="1800"/>
          </w:tcPr>
          <w:p>
            <w:r>
              <w:t>Référence : ____</w:t>
            </w:r>
          </w:p>
        </w:tc>
      </w:tr>
      <w:tr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  <w:tc>
          <w:tcPr>
            <w:tcW w:type="dxa" w:w="1800"/>
          </w:tcPr>
          <w:p>
            <w:r>
              <w:t>…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Action de développement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Responsable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Échéance</w:t>
            </w:r>
          </w:p>
        </w:tc>
        <w:tc>
          <w:tcPr>
            <w:tcW w:type="dxa" w:w="2700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r>
              <w:t>Statut</w:t>
            </w:r>
          </w:p>
        </w:tc>
      </w:tr>
      <w:tr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  <w:tc>
          <w:tcPr>
            <w:tcW w:type="dxa" w:w="2700"/>
          </w:tcPr>
          <w:p>
            <w:r>
              <w:t>…</w:t>
            </w:r>
          </w:p>
        </w:tc>
      </w:tr>
    </w:tbl>
    <w:p/>
    <w:p>
      <w:r>
        <w:rPr>
          <w:b/>
          <w:sz w:val="20"/>
        </w:rPr>
        <w:t>Conseil d’usage :</w:t>
      </w:r>
    </w:p>
    <w:p>
      <w:r>
        <w:rPr>
          <w:b w:val="0"/>
          <w:sz w:val="18"/>
        </w:rPr>
        <w:t>• Utiliser la grille de niveaux pour fixer des objectifs **L-cible** par domaine.</w:t>
      </w:r>
    </w:p>
    <w:p>
      <w:r>
        <w:rPr>
          <w:b w:val="0"/>
          <w:sz w:val="18"/>
        </w:rPr>
        <w:t>• Évidencer les **preuves** (livrables, rapports EVM, roadmaps, PVs) pour objectiver l’évaluation.</w:t>
      </w:r>
    </w:p>
    <w:p>
      <w:r>
        <w:rPr>
          <w:b w:val="0"/>
          <w:sz w:val="18"/>
        </w:rPr>
        <w:t>• Planifier 2 revues/an (mi‑année &amp; fin d’année) et mettre à jour la **Scorecard**.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