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004D40"/>
          <w:sz w:val="36"/>
        </w:rPr>
        <w:t>Rapport annuel de conformité — Extraits prêts à coller</w:t>
      </w:r>
    </w:p>
    <w:p>
      <w:pPr>
        <w:jc w:val="center"/>
      </w:pPr>
      <w:r>
        <w:rPr>
          <w:i/>
        </w:rPr>
        <w:t>Périmètre type : RGPD · HSE · Financier — Entités : [A/B] — Territoires : FR + UE</w:t>
      </w:r>
    </w:p>
    <w:p/>
    <w:p>
      <w:r>
        <w:rPr>
          <w:b/>
          <w:color w:val="004D40"/>
          <w:sz w:val="26"/>
        </w:rPr>
        <w:t>1) Résumé exécutif &amp; opinion</w:t>
      </w:r>
    </w:p>
    <w:p>
      <w:r>
        <w:rPr>
          <w:b/>
        </w:rPr>
        <w:t xml:space="preserve">Version courte (1 paragraphe) — </w:t>
      </w:r>
      <w:r>
        <w:rPr>
          <w:i w:val="0"/>
        </w:rPr>
        <w:t xml:space="preserve">Au 31/12/2025, nous évaluons la conformité globale comme </w:t>
      </w:r>
      <w:r>
        <w:rPr>
          <w:b/>
        </w:rPr>
        <w:t>Conforme avec réserves</w:t>
      </w:r>
      <w:r>
        <w:t xml:space="preserve">. 93 % des contrôles planifiés ont été réalisés, aucune sanction ni mise en demeure n’a été notifiée. Trois écarts majeurs (RGPD — registre des traitements ; HSE — consignation énergie ; Financier — archivage factures) font l’objet d’un plan de remédiation </w:t>
      </w:r>
    </w:p>
    <w:p>
      <w:r>
        <w:rPr>
          <w:b/>
        </w:rPr>
        <w:t>P1</w:t>
      </w:r>
      <w:r>
        <w:t xml:space="preserve"> avec échéances au plus tard le </w:t>
      </w:r>
      <w:r>
        <w:rPr>
          <w:b/>
        </w:rPr>
        <w:t>31/03/2026</w:t>
      </w:r>
      <w:r>
        <w:t xml:space="preserve">. Nous sollicitons la validation d’un budget de </w:t>
      </w:r>
      <w:r>
        <w:rPr>
          <w:b/>
        </w:rPr>
        <w:t>28 k€</w:t>
      </w:r>
      <w:r>
        <w:t xml:space="preserve"> et l’allocation de </w:t>
      </w:r>
      <w:r>
        <w:rPr>
          <w:b/>
        </w:rPr>
        <w:t>0,4 ETP</w:t>
      </w:r>
      <w:r>
        <w:t xml:space="preserve"> pour finaliser les actions prioritaires.</w:t>
      </w:r>
    </w:p>
    <w:p>
      <w:r>
        <w:t>Version développée (principaux points) :</w:t>
      </w:r>
    </w:p>
    <w:p>
      <w:pPr>
        <w:pStyle w:val="ListBullet"/>
      </w:pPr>
      <w:r>
        <w:t>Opinion : ● Vert / ● Ambre / ● Rouge → Ambre (réserves maîtrisées).</w:t>
      </w:r>
    </w:p>
    <w:p>
      <w:pPr>
        <w:pStyle w:val="ListBullet"/>
      </w:pPr>
      <w:r>
        <w:t>Faits saillants : couverture formations obligatoires 96 % ; contrôles réalisés 93 % ; 0 incident notifiable à l’autorité.</w:t>
      </w:r>
    </w:p>
    <w:p>
      <w:pPr>
        <w:pStyle w:val="ListBullet"/>
      </w:pPr>
      <w:r>
        <w:t>Décisions attendues : valider budget 28 k€ (MFA, archivage légal), acter tolérance de risque “faible” sur HSE pendant la mise en conformité (8 semaines).</w:t>
      </w:r>
    </w:p>
    <w:p>
      <w:pPr>
        <w:pStyle w:val="ListBullet"/>
      </w:pPr>
      <w:r>
        <w:t>Prochain jalon : point d’avancement au 15/02/2026 (Comité conformité).</w:t>
      </w:r>
    </w:p>
    <w:p>
      <w:r>
        <w:rPr>
          <w:b/>
          <w:color w:val="004D40"/>
          <w:sz w:val="26"/>
        </w:rPr>
        <w:t>2) Cartographie réglementaire &amp; périmètre</w:t>
      </w:r>
    </w:p>
    <w:p>
      <w:r>
        <w:t>Le périmètre couvre FR + UE, entités [Société A] / [Société B]. Les référentiels clés sont : RGPD (CNIL), Code du travail (HSE), ICPE (DREAL), Loi de finances (DGFiP). Les textes non applicables à notre activité (ex. SEVESO, Sapin II partiel) sont documentés avec justification d’inapplicabilité.</w:t>
      </w:r>
    </w:p>
    <w:p>
      <w:r>
        <w:rPr>
          <w:b/>
          <w:color w:val="004D40"/>
          <w:sz w:val="26"/>
        </w:rPr>
        <w:t>3) Matrice d’applicabilité (extrait)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564"/>
        <w:gridCol w:w="2564"/>
        <w:gridCol w:w="2564"/>
        <w:gridCol w:w="2564"/>
      </w:tblGrid>
      <w:tr>
        <w:tc>
          <w:tcPr>
            <w:tcW w:type="dxa" w:w="2564"/>
          </w:tcPr>
          <w:p>
            <w:r>
              <w:t>Entité</w:t>
            </w:r>
          </w:p>
        </w:tc>
        <w:tc>
          <w:tcPr>
            <w:tcW w:type="dxa" w:w="2564"/>
          </w:tcPr>
          <w:p>
            <w:r>
              <w:t>Référentiel</w:t>
            </w:r>
          </w:p>
        </w:tc>
        <w:tc>
          <w:tcPr>
            <w:tcW w:type="dxa" w:w="2564"/>
          </w:tcPr>
          <w:p>
            <w:r>
              <w:t>Applicabilité</w:t>
            </w:r>
          </w:p>
        </w:tc>
        <w:tc>
          <w:tcPr>
            <w:tcW w:type="dxa" w:w="2564"/>
          </w:tcPr>
          <w:p>
            <w:r>
              <w:t>Commentaire</w:t>
            </w:r>
          </w:p>
        </w:tc>
      </w:tr>
      <w:tr>
        <w:tc>
          <w:tcPr>
            <w:tcW w:type="dxa" w:w="2564"/>
          </w:tcPr>
          <w:p>
            <w:r>
              <w:t>Société A</w:t>
            </w:r>
          </w:p>
        </w:tc>
        <w:tc>
          <w:tcPr>
            <w:tcW w:type="dxa" w:w="2564"/>
          </w:tcPr>
          <w:p>
            <w:r>
              <w:t>RGPD</w:t>
            </w:r>
          </w:p>
        </w:tc>
        <w:tc>
          <w:tcPr>
            <w:tcW w:type="dxa" w:w="2564"/>
          </w:tcPr>
          <w:p>
            <w:r>
              <w:t>Oui</w:t>
            </w:r>
          </w:p>
        </w:tc>
        <w:tc>
          <w:tcPr>
            <w:tcW w:type="dxa" w:w="2564"/>
          </w:tcPr>
          <w:p>
            <w:r>
              <w:t>DPO interne, traitements RH + CRM</w:t>
            </w:r>
          </w:p>
        </w:tc>
      </w:tr>
      <w:tr>
        <w:tc>
          <w:tcPr>
            <w:tcW w:type="dxa" w:w="2564"/>
          </w:tcPr>
          <w:p>
            <w:r>
              <w:t>Société A</w:t>
            </w:r>
          </w:p>
        </w:tc>
        <w:tc>
          <w:tcPr>
            <w:tcW w:type="dxa" w:w="2564"/>
          </w:tcPr>
          <w:p>
            <w:r>
              <w:t>ICPE</w:t>
            </w:r>
          </w:p>
        </w:tc>
        <w:tc>
          <w:tcPr>
            <w:tcW w:type="dxa" w:w="2564"/>
          </w:tcPr>
          <w:p>
            <w:r>
              <w:t>Non</w:t>
            </w:r>
          </w:p>
        </w:tc>
        <w:tc>
          <w:tcPr>
            <w:tcW w:type="dxa" w:w="2564"/>
          </w:tcPr>
          <w:p>
            <w:r>
              <w:t>Pas d’installation classée</w:t>
            </w:r>
          </w:p>
        </w:tc>
      </w:tr>
      <w:tr>
        <w:tc>
          <w:tcPr>
            <w:tcW w:type="dxa" w:w="2564"/>
          </w:tcPr>
          <w:p>
            <w:r>
              <w:t>Société B</w:t>
            </w:r>
          </w:p>
        </w:tc>
        <w:tc>
          <w:tcPr>
            <w:tcW w:type="dxa" w:w="2564"/>
          </w:tcPr>
          <w:p>
            <w:r>
              <w:t>HSE</w:t>
            </w:r>
          </w:p>
        </w:tc>
        <w:tc>
          <w:tcPr>
            <w:tcW w:type="dxa" w:w="2564"/>
          </w:tcPr>
          <w:p>
            <w:r>
              <w:t>Oui</w:t>
            </w:r>
          </w:p>
        </w:tc>
        <w:tc>
          <w:tcPr>
            <w:tcW w:type="dxa" w:w="2564"/>
          </w:tcPr>
          <w:p>
            <w:r>
              <w:t>Atelier mécanique (LOTO requis)</w:t>
            </w:r>
          </w:p>
        </w:tc>
      </w:tr>
    </w:tbl>
    <w:p>
      <w:r>
        <w:rPr>
          <w:b/>
          <w:color w:val="004D40"/>
          <w:sz w:val="26"/>
        </w:rPr>
        <w:t>4) Obligations, contrôles &amp; preuves (extraits)</w:t>
      </w:r>
    </w:p>
    <w:p>
      <w:r>
        <w:rPr>
          <w:b/>
        </w:rPr>
        <w:t>RGPD — Registre des traitements</w:t>
      </w:r>
    </w:p>
    <w:p>
      <w:r>
        <w:t>Obligation : Maintenir un registre à jour.</w:t>
      </w:r>
    </w:p>
    <w:p>
      <w:r>
        <w:t>Contrôle : Revue semestrielle par le DPO, échantillonnage de 10 % des fiches.</w:t>
      </w:r>
    </w:p>
    <w:p>
      <w:r>
        <w:t>Preuve : “Registre_RGDP_v2025-12-15.xlsx” (SharePoint\Conformité\RGPD).</w:t>
      </w:r>
    </w:p>
    <w:p>
      <w:r>
        <w:t>Statut : A — 2 fiches à compléter (durées de conservation).</w:t>
      </w:r>
    </w:p>
    <w:p>
      <w:r>
        <w:t>Action : Finaliser d’ici le 31/01/2026 — Pilote : DPO.</w:t>
      </w:r>
    </w:p>
    <w:p>
      <w:r>
        <w:rPr>
          <w:b/>
        </w:rPr>
        <w:t>HSE — Consignation des énergies (LOTO)</w:t>
      </w:r>
    </w:p>
    <w:p>
      <w:r>
        <w:t>Obligation : Procédure de consignation et preuve de test d’absence d’énergie.</w:t>
      </w:r>
    </w:p>
    <w:p>
      <w:r>
        <w:t>Contrôle : Audit trimestriel sur 5 interventions.</w:t>
      </w:r>
    </w:p>
    <w:p>
      <w:r>
        <w:t>Preuve : Fiches LOTO signées + photos (\\Drive\HSE\LOTO\2025Q4).</w:t>
      </w:r>
    </w:p>
    <w:p>
      <w:r>
        <w:t>Statut : A — 1 dossier incomplet (photo manquante).</w:t>
      </w:r>
    </w:p>
    <w:p>
      <w:r>
        <w:t>Action : Rappel opératoire + mise à jour check-list (15/02/2026) — Pilote : HSE.</w:t>
      </w:r>
    </w:p>
    <w:p>
      <w:r>
        <w:rPr>
          <w:b/>
        </w:rPr>
        <w:t>Financier — Archivage factures</w:t>
      </w:r>
    </w:p>
    <w:p>
      <w:r>
        <w:t>Obligation : Conservation 10 ans, intégrité &amp; lisibilité.</w:t>
      </w:r>
    </w:p>
    <w:p>
      <w:r>
        <w:t>Contrôle : Test annuel d’extraction aléatoire (20 pièces).</w:t>
      </w:r>
    </w:p>
    <w:p>
      <w:r>
        <w:t>Preuve : Rapport “Archivage_Test2025.pdf”.</w:t>
      </w:r>
    </w:p>
    <w:p>
      <w:r>
        <w:t>Statut : V — Conforme.</w:t>
      </w:r>
    </w:p>
    <w:p>
      <w:r>
        <w:rPr>
          <w:b/>
          <w:color w:val="004D40"/>
          <w:sz w:val="26"/>
        </w:rPr>
        <w:t>5) Évaluation par domaine (V/A/R + risque)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564"/>
        <w:gridCol w:w="2564"/>
        <w:gridCol w:w="2564"/>
        <w:gridCol w:w="2564"/>
      </w:tblGrid>
      <w:tr>
        <w:tc>
          <w:tcPr>
            <w:tcW w:type="dxa" w:w="2564"/>
          </w:tcPr>
          <w:p>
            <w:r>
              <w:t>Domaine</w:t>
            </w:r>
          </w:p>
        </w:tc>
        <w:tc>
          <w:tcPr>
            <w:tcW w:type="dxa" w:w="2564"/>
          </w:tcPr>
          <w:p>
            <w:r>
              <w:t>Statut</w:t>
            </w:r>
          </w:p>
        </w:tc>
        <w:tc>
          <w:tcPr>
            <w:tcW w:type="dxa" w:w="2564"/>
          </w:tcPr>
          <w:p>
            <w:r>
              <w:t>Risque (P×I)</w:t>
            </w:r>
          </w:p>
        </w:tc>
        <w:tc>
          <w:tcPr>
            <w:tcW w:type="dxa" w:w="2564"/>
          </w:tcPr>
          <w:p>
            <w:r>
              <w:t>Commentaire</w:t>
            </w:r>
          </w:p>
        </w:tc>
      </w:tr>
      <w:tr>
        <w:tc>
          <w:tcPr>
            <w:tcW w:type="dxa" w:w="2564"/>
          </w:tcPr>
          <w:p>
            <w:r>
              <w:t>RGPD</w:t>
            </w:r>
          </w:p>
        </w:tc>
        <w:tc>
          <w:tcPr>
            <w:tcW w:type="dxa" w:w="2564"/>
          </w:tcPr>
          <w:p>
            <w:r>
              <w:t>Ambre</w:t>
            </w:r>
          </w:p>
        </w:tc>
        <w:tc>
          <w:tcPr>
            <w:tcW w:type="dxa" w:w="2564"/>
          </w:tcPr>
          <w:p>
            <w:r>
              <w:t>2×3 = 6</w:t>
            </w:r>
          </w:p>
        </w:tc>
        <w:tc>
          <w:tcPr>
            <w:tcW w:type="dxa" w:w="2564"/>
          </w:tcPr>
          <w:p>
            <w:r>
              <w:t>Registre à compléter (2 fiches)</w:t>
            </w:r>
          </w:p>
        </w:tc>
      </w:tr>
      <w:tr>
        <w:tc>
          <w:tcPr>
            <w:tcW w:type="dxa" w:w="2564"/>
          </w:tcPr>
          <w:p>
            <w:r>
              <w:t>HSE</w:t>
            </w:r>
          </w:p>
        </w:tc>
        <w:tc>
          <w:tcPr>
            <w:tcW w:type="dxa" w:w="2564"/>
          </w:tcPr>
          <w:p>
            <w:r>
              <w:t>Ambre</w:t>
            </w:r>
          </w:p>
        </w:tc>
        <w:tc>
          <w:tcPr>
            <w:tcW w:type="dxa" w:w="2564"/>
          </w:tcPr>
          <w:p>
            <w:r>
              <w:t>2×4 = 8</w:t>
            </w:r>
          </w:p>
        </w:tc>
        <w:tc>
          <w:tcPr>
            <w:tcW w:type="dxa" w:w="2564"/>
          </w:tcPr>
          <w:p>
            <w:r>
              <w:t>Discipline LOTO à renforcer Q1</w:t>
            </w:r>
          </w:p>
        </w:tc>
      </w:tr>
      <w:tr>
        <w:tc>
          <w:tcPr>
            <w:tcW w:type="dxa" w:w="2564"/>
          </w:tcPr>
          <w:p>
            <w:r>
              <w:t>Finance</w:t>
            </w:r>
          </w:p>
        </w:tc>
        <w:tc>
          <w:tcPr>
            <w:tcW w:type="dxa" w:w="2564"/>
          </w:tcPr>
          <w:p>
            <w:r>
              <w:t>Vert</w:t>
            </w:r>
          </w:p>
        </w:tc>
        <w:tc>
          <w:tcPr>
            <w:tcW w:type="dxa" w:w="2564"/>
          </w:tcPr>
          <w:p>
            <w:r>
              <w:t>1×2 = 2</w:t>
            </w:r>
          </w:p>
        </w:tc>
        <w:tc>
          <w:tcPr>
            <w:tcW w:type="dxa" w:w="2564"/>
          </w:tcPr>
          <w:p>
            <w:r>
              <w:t>Archivage &amp; piste d’audit OK</w:t>
            </w:r>
          </w:p>
        </w:tc>
      </w:tr>
    </w:tbl>
    <w:p>
      <w:r>
        <w:rPr>
          <w:b/>
          <w:color w:val="004D40"/>
          <w:sz w:val="26"/>
        </w:rPr>
        <w:t>6) Incidents / non-conformités / événements notifiables</w:t>
      </w:r>
    </w:p>
    <w:p>
      <w:r>
        <w:t>Aucun événement notifiable en 2025. Trois NC mineures relevées en audit interne (HSE : traçabilité EPI ; RGPD : clause d’information sous-traitant ; Finance : délai d’approbation note de frais). CAPA lancées et en cours de clôture (échéances &lt; 31/01/2026).</w:t>
      </w:r>
    </w:p>
    <w:p>
      <w:r>
        <w:rPr>
          <w:b/>
          <w:color w:val="004D40"/>
          <w:sz w:val="26"/>
        </w:rPr>
        <w:t>7) Plan de remédiation priorisé (extraits)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465"/>
        <w:gridCol w:w="1465"/>
        <w:gridCol w:w="1465"/>
        <w:gridCol w:w="1465"/>
        <w:gridCol w:w="1465"/>
        <w:gridCol w:w="1465"/>
        <w:gridCol w:w="1465"/>
      </w:tblGrid>
      <w:tr>
        <w:tc>
          <w:tcPr>
            <w:tcW w:type="dxa" w:w="1465"/>
          </w:tcPr>
          <w:p>
            <w:r>
              <w:t>Action</w:t>
            </w:r>
          </w:p>
        </w:tc>
        <w:tc>
          <w:tcPr>
            <w:tcW w:type="dxa" w:w="1465"/>
          </w:tcPr>
          <w:p>
            <w:r>
              <w:t>Impact</w:t>
            </w:r>
          </w:p>
        </w:tc>
        <w:tc>
          <w:tcPr>
            <w:tcW w:type="dxa" w:w="1465"/>
          </w:tcPr>
          <w:p>
            <w:r>
              <w:t>Priorité</w:t>
            </w:r>
          </w:p>
        </w:tc>
        <w:tc>
          <w:tcPr>
            <w:tcW w:type="dxa" w:w="1465"/>
          </w:tcPr>
          <w:p>
            <w:r>
              <w:t>Pilote</w:t>
            </w:r>
          </w:p>
        </w:tc>
        <w:tc>
          <w:tcPr>
            <w:tcW w:type="dxa" w:w="1465"/>
          </w:tcPr>
          <w:p>
            <w:r>
              <w:t>Échéance</w:t>
            </w:r>
          </w:p>
        </w:tc>
        <w:tc>
          <w:tcPr>
            <w:tcW w:type="dxa" w:w="1465"/>
          </w:tcPr>
          <w:p>
            <w:r>
              <w:t>Preuve attendue</w:t>
            </w:r>
          </w:p>
        </w:tc>
        <w:tc>
          <w:tcPr>
            <w:tcW w:type="dxa" w:w="1465"/>
          </w:tcPr>
          <w:p>
            <w:r>
              <w:t>Statut</w:t>
            </w:r>
          </w:p>
        </w:tc>
      </w:tr>
      <w:tr>
        <w:tc>
          <w:tcPr>
            <w:tcW w:type="dxa" w:w="1465"/>
          </w:tcPr>
          <w:p>
            <w:r>
              <w:t>Mettre à jour 2 fiches registre RGPD</w:t>
            </w:r>
          </w:p>
        </w:tc>
        <w:tc>
          <w:tcPr>
            <w:tcW w:type="dxa" w:w="1465"/>
          </w:tcPr>
          <w:p>
            <w:r>
              <w:t>H</w:t>
            </w:r>
          </w:p>
        </w:tc>
        <w:tc>
          <w:tcPr>
            <w:tcW w:type="dxa" w:w="1465"/>
          </w:tcPr>
          <w:p>
            <w:r>
              <w:t>P1</w:t>
            </w:r>
          </w:p>
        </w:tc>
        <w:tc>
          <w:tcPr>
            <w:tcW w:type="dxa" w:w="1465"/>
          </w:tcPr>
          <w:p>
            <w:r>
              <w:t>DPO</w:t>
            </w:r>
          </w:p>
        </w:tc>
        <w:tc>
          <w:tcPr>
            <w:tcW w:type="dxa" w:w="1465"/>
          </w:tcPr>
          <w:p>
            <w:r>
              <w:t>31/01/2026</w:t>
            </w:r>
          </w:p>
        </w:tc>
        <w:tc>
          <w:tcPr>
            <w:tcW w:type="dxa" w:w="1465"/>
          </w:tcPr>
          <w:p>
            <w:r>
              <w:t>Registre v2026-01</w:t>
            </w:r>
          </w:p>
        </w:tc>
        <w:tc>
          <w:tcPr>
            <w:tcW w:type="dxa" w:w="1465"/>
          </w:tcPr>
          <w:p>
            <w:r>
              <w:t>En cours</w:t>
            </w:r>
          </w:p>
        </w:tc>
      </w:tr>
      <w:tr>
        <w:tc>
          <w:tcPr>
            <w:tcW w:type="dxa" w:w="1465"/>
          </w:tcPr>
          <w:p>
            <w:r>
              <w:t>Renforcer check-list LOTO (photo obligatoire)</w:t>
            </w:r>
          </w:p>
        </w:tc>
        <w:tc>
          <w:tcPr>
            <w:tcW w:type="dxa" w:w="1465"/>
          </w:tcPr>
          <w:p>
            <w:r>
              <w:t>M</w:t>
            </w:r>
          </w:p>
        </w:tc>
        <w:tc>
          <w:tcPr>
            <w:tcW w:type="dxa" w:w="1465"/>
          </w:tcPr>
          <w:p>
            <w:r>
              <w:t>P1</w:t>
            </w:r>
          </w:p>
        </w:tc>
        <w:tc>
          <w:tcPr>
            <w:tcW w:type="dxa" w:w="1465"/>
          </w:tcPr>
          <w:p>
            <w:r>
              <w:t>HSE</w:t>
            </w:r>
          </w:p>
        </w:tc>
        <w:tc>
          <w:tcPr>
            <w:tcW w:type="dxa" w:w="1465"/>
          </w:tcPr>
          <w:p>
            <w:r>
              <w:t>15/02/2026</w:t>
            </w:r>
          </w:p>
        </w:tc>
        <w:tc>
          <w:tcPr>
            <w:tcW w:type="dxa" w:w="1465"/>
          </w:tcPr>
          <w:p>
            <w:r>
              <w:t>Nouvelle check-list</w:t>
            </w:r>
          </w:p>
        </w:tc>
        <w:tc>
          <w:tcPr>
            <w:tcW w:type="dxa" w:w="1465"/>
          </w:tcPr>
          <w:p>
            <w:r>
              <w:t>Planifié</w:t>
            </w:r>
          </w:p>
        </w:tc>
      </w:tr>
      <w:tr>
        <w:tc>
          <w:tcPr>
            <w:tcW w:type="dxa" w:w="1465"/>
          </w:tcPr>
          <w:p>
            <w:r>
              <w:t>Activer MFA comptes à privilèges</w:t>
            </w:r>
          </w:p>
        </w:tc>
        <w:tc>
          <w:tcPr>
            <w:tcW w:type="dxa" w:w="1465"/>
          </w:tcPr>
          <w:p>
            <w:r>
              <w:t>H</w:t>
            </w:r>
          </w:p>
        </w:tc>
        <w:tc>
          <w:tcPr>
            <w:tcW w:type="dxa" w:w="1465"/>
          </w:tcPr>
          <w:p>
            <w:r>
              <w:t>P1</w:t>
            </w:r>
          </w:p>
        </w:tc>
        <w:tc>
          <w:tcPr>
            <w:tcW w:type="dxa" w:w="1465"/>
          </w:tcPr>
          <w:p>
            <w:r>
              <w:t>IT Sec</w:t>
            </w:r>
          </w:p>
        </w:tc>
        <w:tc>
          <w:tcPr>
            <w:tcW w:type="dxa" w:w="1465"/>
          </w:tcPr>
          <w:p>
            <w:r>
              <w:t>15/02/2026</w:t>
            </w:r>
          </w:p>
        </w:tc>
        <w:tc>
          <w:tcPr>
            <w:tcW w:type="dxa" w:w="1465"/>
          </w:tcPr>
          <w:p>
            <w:r>
              <w:t>Rapport MFA &amp; captures</w:t>
            </w:r>
          </w:p>
        </w:tc>
        <w:tc>
          <w:tcPr>
            <w:tcW w:type="dxa" w:w="1465"/>
          </w:tcPr>
          <w:p>
            <w:r>
              <w:t>Planifié</w:t>
            </w:r>
          </w:p>
        </w:tc>
      </w:tr>
    </w:tbl>
    <w:p>
      <w:r>
        <w:rPr>
          <w:b/>
          <w:color w:val="004D40"/>
          <w:sz w:val="26"/>
        </w:rPr>
        <w:t>8) Formations &amp; sensibilisation</w:t>
      </w:r>
    </w:p>
    <w:p>
      <w:r>
        <w:t>Couverture des formations réglementaires : 96 % (cible 100 %). Les populations manquantes (managers nouveaux entrants) sont planifiées sur février 2026. Supports mis à jour pour intégrer MFA et bonnes pratiques RGPD (durées de conservation).</w:t>
      </w:r>
    </w:p>
    <w:p>
      <w:r>
        <w:rPr>
          <w:b/>
          <w:color w:val="004D40"/>
          <w:sz w:val="26"/>
        </w:rPr>
        <w:t>9) Audits &amp; contrôles (extraits)</w:t>
      </w:r>
    </w:p>
    <w:p>
      <w:r>
        <w:t>Audit interne HSE Q4 : 6 constats (4 mineurs, 2 opportunités), aucune non-conformité majeure. Audit fournisseur RGPD : clauses contractuelles mises à jour (DPA signé). Audit externe financier : pas d’observation significative.</w:t>
      </w:r>
    </w:p>
    <w:p>
      <w:r>
        <w:rPr>
          <w:b/>
          <w:color w:val="004D40"/>
          <w:sz w:val="26"/>
        </w:rPr>
        <w:t>10) KPI de conformité (extraits)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709"/>
        <w:gridCol w:w="1709"/>
        <w:gridCol w:w="1709"/>
        <w:gridCol w:w="1709"/>
        <w:gridCol w:w="1709"/>
        <w:gridCol w:w="1709"/>
      </w:tblGrid>
      <w:tr>
        <w:tc>
          <w:tcPr>
            <w:tcW w:type="dxa" w:w="1709"/>
          </w:tcPr>
          <w:p>
            <w:r>
              <w:t>Indicateur</w:t>
            </w:r>
          </w:p>
        </w:tc>
        <w:tc>
          <w:tcPr>
            <w:tcW w:type="dxa" w:w="1709"/>
          </w:tcPr>
          <w:p>
            <w:r>
              <w:t>Valeur</w:t>
            </w:r>
          </w:p>
        </w:tc>
        <w:tc>
          <w:tcPr>
            <w:tcW w:type="dxa" w:w="1709"/>
          </w:tcPr>
          <w:p>
            <w:r>
              <w:t>Cible</w:t>
            </w:r>
          </w:p>
        </w:tc>
        <w:tc>
          <w:tcPr>
            <w:tcW w:type="dxa" w:w="1709"/>
          </w:tcPr>
          <w:p>
            <w:r>
              <w:t>Tendance</w:t>
            </w:r>
          </w:p>
        </w:tc>
        <w:tc>
          <w:tcPr>
            <w:tcW w:type="dxa" w:w="1709"/>
          </w:tcPr>
          <w:p>
            <w:r>
              <w:t>Source</w:t>
            </w:r>
          </w:p>
        </w:tc>
        <w:tc>
          <w:tcPr>
            <w:tcW w:type="dxa" w:w="1709"/>
          </w:tcPr>
          <w:p>
            <w:r>
              <w:t>Propriétaire</w:t>
            </w:r>
          </w:p>
        </w:tc>
      </w:tr>
      <w:tr>
        <w:tc>
          <w:tcPr>
            <w:tcW w:type="dxa" w:w="1709"/>
          </w:tcPr>
          <w:p>
            <w:r>
              <w:t>Contrôles réalisés vs planifiés</w:t>
            </w:r>
          </w:p>
        </w:tc>
        <w:tc>
          <w:tcPr>
            <w:tcW w:type="dxa" w:w="1709"/>
          </w:tcPr>
          <w:p>
            <w:r>
              <w:t>93 %</w:t>
            </w:r>
          </w:p>
        </w:tc>
        <w:tc>
          <w:tcPr>
            <w:tcW w:type="dxa" w:w="1709"/>
          </w:tcPr>
          <w:p>
            <w:r>
              <w:t>100 %</w:t>
            </w:r>
          </w:p>
        </w:tc>
        <w:tc>
          <w:tcPr>
            <w:tcW w:type="dxa" w:w="1709"/>
          </w:tcPr>
          <w:p>
            <w:r>
              <w:t>↑</w:t>
            </w:r>
          </w:p>
        </w:tc>
        <w:tc>
          <w:tcPr>
            <w:tcW w:type="dxa" w:w="1709"/>
          </w:tcPr>
          <w:p>
            <w:r>
              <w:t>Plan_Contrôles_2025.xlsx</w:t>
            </w:r>
          </w:p>
        </w:tc>
        <w:tc>
          <w:tcPr>
            <w:tcW w:type="dxa" w:w="1709"/>
          </w:tcPr>
          <w:p>
            <w:r>
              <w:t>Qualité</w:t>
            </w:r>
          </w:p>
        </w:tc>
      </w:tr>
      <w:tr>
        <w:tc>
          <w:tcPr>
            <w:tcW w:type="dxa" w:w="1709"/>
          </w:tcPr>
          <w:p>
            <w:r>
              <w:t>Couverture formations obligatoires</w:t>
            </w:r>
          </w:p>
        </w:tc>
        <w:tc>
          <w:tcPr>
            <w:tcW w:type="dxa" w:w="1709"/>
          </w:tcPr>
          <w:p>
            <w:r>
              <w:t>96 %</w:t>
            </w:r>
          </w:p>
        </w:tc>
        <w:tc>
          <w:tcPr>
            <w:tcW w:type="dxa" w:w="1709"/>
          </w:tcPr>
          <w:p>
            <w:r>
              <w:t>100 %</w:t>
            </w:r>
          </w:p>
        </w:tc>
        <w:tc>
          <w:tcPr>
            <w:tcW w:type="dxa" w:w="1709"/>
          </w:tcPr>
          <w:p>
            <w:r>
              <w:t>→</w:t>
            </w:r>
          </w:p>
        </w:tc>
        <w:tc>
          <w:tcPr>
            <w:tcW w:type="dxa" w:w="1709"/>
          </w:tcPr>
          <w:p>
            <w:r>
              <w:t>LMS_Export_2025-12</w:t>
            </w:r>
          </w:p>
        </w:tc>
        <w:tc>
          <w:tcPr>
            <w:tcW w:type="dxa" w:w="1709"/>
          </w:tcPr>
          <w:p>
            <w:r>
              <w:t>RH</w:t>
            </w:r>
          </w:p>
        </w:tc>
      </w:tr>
      <w:tr>
        <w:tc>
          <w:tcPr>
            <w:tcW w:type="dxa" w:w="1709"/>
          </w:tcPr>
          <w:p>
            <w:r>
              <w:t>Écarts ouverts (total / majeurs)</w:t>
            </w:r>
          </w:p>
        </w:tc>
        <w:tc>
          <w:tcPr>
            <w:tcW w:type="dxa" w:w="1709"/>
          </w:tcPr>
          <w:p>
            <w:r>
              <w:t>7 / 0</w:t>
            </w:r>
          </w:p>
        </w:tc>
        <w:tc>
          <w:tcPr>
            <w:tcW w:type="dxa" w:w="1709"/>
          </w:tcPr>
          <w:p>
            <w:r>
              <w:t>≤10 / 0</w:t>
            </w:r>
          </w:p>
        </w:tc>
        <w:tc>
          <w:tcPr>
            <w:tcW w:type="dxa" w:w="1709"/>
          </w:tcPr>
          <w:p>
            <w:r>
              <w:t>↓</w:t>
            </w:r>
          </w:p>
        </w:tc>
        <w:tc>
          <w:tcPr>
            <w:tcW w:type="dxa" w:w="1709"/>
          </w:tcPr>
          <w:p>
            <w:r>
              <w:t>Registre_Ecarts.xlsx</w:t>
            </w:r>
          </w:p>
        </w:tc>
        <w:tc>
          <w:tcPr>
            <w:tcW w:type="dxa" w:w="1709"/>
          </w:tcPr>
          <w:p>
            <w:r>
              <w:t>Compliance</w:t>
            </w:r>
          </w:p>
        </w:tc>
      </w:tr>
      <w:tr>
        <w:tc>
          <w:tcPr>
            <w:tcW w:type="dxa" w:w="1709"/>
          </w:tcPr>
          <w:p>
            <w:r>
              <w:t>Déclarations soumises dans les délais</w:t>
            </w:r>
          </w:p>
        </w:tc>
        <w:tc>
          <w:tcPr>
            <w:tcW w:type="dxa" w:w="1709"/>
          </w:tcPr>
          <w:p>
            <w:r>
              <w:t>100 %</w:t>
            </w:r>
          </w:p>
        </w:tc>
        <w:tc>
          <w:tcPr>
            <w:tcW w:type="dxa" w:w="1709"/>
          </w:tcPr>
          <w:p>
            <w:r>
              <w:t>100 %</w:t>
            </w:r>
          </w:p>
        </w:tc>
        <w:tc>
          <w:tcPr>
            <w:tcW w:type="dxa" w:w="1709"/>
          </w:tcPr>
          <w:p>
            <w:r>
              <w:t>→</w:t>
            </w:r>
          </w:p>
        </w:tc>
        <w:tc>
          <w:tcPr>
            <w:tcW w:type="dxa" w:w="1709"/>
          </w:tcPr>
          <w:p>
            <w:r>
              <w:t>Registre_Déclarations</w:t>
            </w:r>
          </w:p>
        </w:tc>
        <w:tc>
          <w:tcPr>
            <w:tcW w:type="dxa" w:w="1709"/>
          </w:tcPr>
          <w:p>
            <w:r>
              <w:t>Juridique</w:t>
            </w:r>
          </w:p>
        </w:tc>
      </w:tr>
    </w:tbl>
    <w:p>
      <w:r>
        <w:rPr>
          <w:b/>
          <w:color w:val="004D40"/>
          <w:sz w:val="26"/>
        </w:rPr>
        <w:t>11) Attestations &amp; déclarations (extraits)</w:t>
      </w:r>
    </w:p>
    <w:p>
      <w:r>
        <w:t>CNIL — Registre &amp; AIPD : pas d’obligation de notification, registre tenu à jour.</w:t>
      </w:r>
    </w:p>
    <w:p>
      <w:r>
        <w:t>Déchets — BSD : déclarations mensuelles complètes, preuves d’envoi archivées (\\Drive\HSE\Déchets\2025).</w:t>
      </w:r>
    </w:p>
    <w:p>
      <w:r>
        <w:t>Fiscal — TVA : télédéclarations mensuelles réalisées dans les délais, accusés de réception archivés.</w:t>
      </w:r>
    </w:p>
    <w:p>
      <w:r>
        <w:rPr>
          <w:b/>
          <w:color w:val="004D40"/>
          <w:sz w:val="26"/>
        </w:rPr>
        <w:t>12) Programme de conformité — Année N+1 (extrait)</w:t>
      </w:r>
    </w:p>
    <w:p>
      <w:pPr>
        <w:pStyle w:val="ListBullet"/>
      </w:pPr>
      <w:r>
        <w:t>Axe RGPD : revue des durées de conservation &amp; purge automatique (Q2).</w:t>
      </w:r>
    </w:p>
    <w:p>
      <w:pPr>
        <w:pStyle w:val="ListBullet"/>
      </w:pPr>
      <w:r>
        <w:t>Axe HSE : formation LOTO renforcée + audits flash en ligne (Q1–Q3).</w:t>
      </w:r>
    </w:p>
    <w:p>
      <w:pPr>
        <w:pStyle w:val="ListBullet"/>
      </w:pPr>
      <w:r>
        <w:t>Axe Sécurité SI : MFA généralisé + campagne phishing trimestrielle (Q1–Q4).</w:t>
      </w:r>
    </w:p>
    <w:p>
      <w:pPr>
        <w:pStyle w:val="ListBullet"/>
      </w:pPr>
      <w:r>
        <w:t>Ressources : 28 k€ + 0,4 ETP. Jalon de revue : 30/06/2026.</w:t>
      </w:r>
    </w:p>
    <w:p>
      <w:r>
        <w:rPr>
          <w:b/>
          <w:color w:val="004D40"/>
          <w:sz w:val="26"/>
        </w:rPr>
        <w:t>13) Conclusion &amp; demandes d’arbitrage</w:t>
      </w:r>
    </w:p>
    <w:p>
      <w:r>
        <w:t>La conformité 2025 est globalement maîtrisée ; les réserves identifiées sont circonscrites et couvertes par des actions P1 dotées. Nous demandons la validation du budget complémentaire (28 k€), la priorisation de l’action MFA et l’approbation du programme N+1 tel que proposé.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850" w:right="850" w:bottom="850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t xml:space="preserve">Rapport annuel de conformité — Extraits | Page </w:t>
    </w:r>
    <w:r>
      <w:fldChar w:fldCharType="begin"/>
      <w:instrText xml:space="preserve">PAGE  \* MERGEFORMAT</w:instrText>
      <w:fldChar w:fldCharType="separate"/>
      <w:fldChar w:fldCharType="end"/>
    </w:r>
    <w:r>
      <w:t xml:space="preserve"> / </w:t>
    </w:r>
    <w:r>
      <w:fldChar w:fldCharType="begin"/>
      <w:instrText xml:space="preserve">NUMPAGES  \* MERGEFORMAT</w:instrText>
      <w:fldChar w:fldCharType="separate"/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</w:pPr>
  </w:p>
  <w:tbl>
    <w:tblPr>
      <w:tblW w:type="auto" w:w="0"/>
      <w:tblLook w:firstColumn="1" w:firstRow="1" w:lastColumn="0" w:lastRow="0" w:noHBand="0" w:noVBand="1" w:val="04A0"/>
    </w:tblPr>
    <w:tblGrid>
      <w:gridCol w:w="3969"/>
      <w:gridCol w:w="3969"/>
      <w:gridCol w:w="3969"/>
    </w:tblGrid>
    <w:tr>
      <w:tc>
        <w:tcPr>
          <w:tcW w:type="dxa" w:w="3969"/>
          <w:shd w:val="clear" w:color="auto" w:fill="E8F5E9"/>
        </w:tcPr>
        <w:p>
          <w:r>
            <w:rPr>
              <w:b/>
            </w:rPr>
            <w:t>LOGO</w:t>
            <w:br/>
            <w:t>Organisation : [Votre société]</w:t>
          </w:r>
        </w:p>
      </w:tc>
      <w:tc>
        <w:tcPr>
          <w:tcW w:type="dxa" w:w="3969"/>
        </w:tcPr>
        <w:p>
          <w:pPr>
            <w:jc w:val="center"/>
          </w:pPr>
          <w:r>
            <w:rPr>
              <w:b/>
              <w:color w:val="004D40"/>
            </w:rPr>
            <w:t>Rapport annuel de conformité — Extraits</w:t>
          </w:r>
        </w:p>
      </w:tc>
      <w:tc>
        <w:tcPr>
          <w:tcW w:type="dxa" w:w="3969"/>
          <w:shd w:val="clear" w:color="auto" w:fill="FFF3CD"/>
        </w:tcPr>
        <w:p>
          <w:r>
            <w:rPr>
              <w:b/>
            </w:rPr>
            <w:t xml:space="preserve">Réf. : </w:t>
          </w:r>
          <w:r>
            <w:t>[RPT-CNF-2025]</w:t>
            <w:br/>
          </w:r>
          <w:r>
            <w:rPr>
              <w:b/>
            </w:rPr>
            <w:t xml:space="preserve">Version : </w:t>
          </w:r>
          <w:r>
            <w:t>v1.0</w:t>
            <w:br/>
          </w:r>
          <w:r>
            <w:rPr>
              <w:b/>
            </w:rPr>
            <w:t xml:space="preserve">Date : </w:t>
          </w:r>
          <w:r>
            <w:t>31/12/2025</w:t>
            <w:br/>
          </w:r>
          <w:r>
            <w:rPr>
              <w:b/>
            </w:rPr>
            <w:t xml:space="preserve">Confidentialité : </w:t>
          </w:r>
          <w:r>
            <w:t>Interne</w:t>
          </w:r>
        </w:p>
      </w:tc>
    </w:tr>
  </w:tbl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