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67"/>
            <w:shd w:val="clear" w:color="auto" w:fill="000000"/>
            <w:vAlign w:val="top"/>
          </w:tcPr>
          <w:p/>
        </w:tc>
        <w:tc>
          <w:tcPr>
            <w:tcW w:type="dxa" w:w="8787"/>
            <w:vAlign w:val="top"/>
          </w:tcPr>
          <w:p>
            <w:r>
              <w:rPr>
                <w:b/>
                <w:sz w:val="28"/>
              </w:rPr>
              <w:t>Tableau d’Amortissement (Lin.) — One‑Page</w:t>
            </w:r>
          </w:p>
          <w:p>
            <w:r>
              <w:rPr>
                <w:i/>
              </w:rPr>
              <w:t>Paramètres &amp; calculs clés</w:t>
            </w:r>
          </w:p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4393"/>
              <w:gridCol w:w="4393"/>
            </w:tblGrid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Actif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Valeur brute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€ 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Durée (ans)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…</w:t>
                  </w:r>
                </w:p>
              </w:tc>
            </w:tr>
            <w:tr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Mise en service</w:t>
                  </w:r>
                </w:p>
              </w:tc>
              <w:tc>
                <w:tcPr>
                  <w:tcW w:type="dxa" w:w="4393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t>JJ/MM/AAAA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197"/>
              <w:gridCol w:w="2197"/>
              <w:gridCol w:w="2197"/>
              <w:gridCol w:w="2197"/>
            </w:tblGrid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Année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Dotation €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Amort. cumulé €</w:t>
                  </w:r>
                </w:p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>
                  <w:r>
                    <w:rPr>
                      <w:b/>
                    </w:rPr>
                    <w:t>VNC €</w:t>
                  </w:r>
                </w:p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  <w:tr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  <w:tc>
                <w:tcPr>
                  <w:tcW w:type="dxa" w:w="2197"/>
                  <w:tcBorders>
                    <w:top w:val="single" w:sz="12" w:color="000000"/>
                    <w:left w:val="single" w:sz="12" w:color="000000"/>
                    <w:bottom w:val="single" w:sz="12" w:color="000000"/>
                    <w:right w:val="single" w:sz="12" w:color="000000"/>
                  </w:tcBorders>
                </w:tcPr>
                <w:p/>
              </w:tc>
            </w:tr>
          </w:tbl>
          <w:p/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One‑Page — Amortissement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