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67"/>
            <w:shd w:val="clear" w:color="auto" w:fill="000000"/>
            <w:vAlign w:val="top"/>
          </w:tcPr>
          <w:p/>
        </w:tc>
        <w:tc>
          <w:tcPr>
            <w:tcW w:type="dxa" w:w="8787"/>
            <w:vAlign w:val="top"/>
          </w:tcPr>
          <w:p>
            <w:r>
              <w:rPr>
                <w:b/>
                <w:sz w:val="28"/>
              </w:rPr>
              <w:t>TVA CA3 — Checklist One‑Page</w:t>
            </w:r>
          </w:p>
          <w:p>
            <w:r>
              <w:rPr>
                <w:i/>
              </w:rPr>
              <w:t>Bases, taux, déductions, contrôle croisé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393"/>
              <w:gridCol w:w="4393"/>
            </w:tblGrid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Période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MM/YYYY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Taux normal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20 %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Taux intermédiaire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10 %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Taux réduit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5,5 %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255"/>
              <w:gridCol w:w="1255"/>
              <w:gridCol w:w="1255"/>
              <w:gridCol w:w="1255"/>
              <w:gridCol w:w="1255"/>
              <w:gridCol w:w="1255"/>
              <w:gridCol w:w="1255"/>
            </w:tblGrid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Mois</w:t>
                  </w:r>
                </w:p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Base ventes</w:t>
                  </w:r>
                </w:p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TVA coll.</w:t>
                  </w:r>
                </w:p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Base achats</w:t>
                  </w:r>
                </w:p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TVA déd.</w:t>
                  </w:r>
                </w:p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Régul.</w:t>
                  </w:r>
                </w:p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TVA due</w:t>
                  </w:r>
                </w:p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</w:tbl>
          <w:p/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One‑Page — TVA CA3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