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67"/>
            <w:shd w:val="clear" w:color="auto" w:fill="000000"/>
            <w:vAlign w:val="top"/>
          </w:tcPr>
          <w:p/>
        </w:tc>
        <w:tc>
          <w:tcPr>
            <w:tcW w:type="dxa" w:w="8787"/>
            <w:vAlign w:val="top"/>
          </w:tcPr>
          <w:p>
            <w:r>
              <w:rPr>
                <w:b/>
                <w:sz w:val="28"/>
              </w:rPr>
              <w:t>Plan de Trésorerie — 13 Semaines</w:t>
            </w:r>
          </w:p>
          <w:p>
            <w:r>
              <w:rPr>
                <w:i/>
              </w:rPr>
              <w:t>Vision courte, arbitrages rapides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393"/>
              <w:gridCol w:w="4393"/>
            </w:tblGrid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Solde initial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€ …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Seuil d’alerte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€ …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197"/>
              <w:gridCol w:w="2197"/>
              <w:gridCol w:w="2197"/>
              <w:gridCol w:w="2197"/>
            </w:tblGrid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Semaine</w:t>
                  </w:r>
                </w:p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Entrées €</w:t>
                  </w:r>
                </w:p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Sorties €</w:t>
                  </w:r>
                </w:p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Solde final €</w:t>
                  </w:r>
                </w:p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Conseil d’usage</w:t>
            </w:r>
          </w:p>
          <w:p>
            <w:r>
              <w:rPr>
                <w:rFonts w:ascii="Consolas" w:hAnsi="Consolas"/>
                <w:sz w:val="18"/>
              </w:rPr>
              <w:t>Maj vendredi • Arbitrages lundi AM • Synchroniser ventes/achats.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One‑Page — Trésorerie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