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Note de Frais — One‑Page</w:t>
            </w:r>
          </w:p>
          <w:p>
            <w:r>
              <w:rPr>
                <w:i/>
              </w:rPr>
              <w:t>Règles, justificatifs, plafonds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Collaborateur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Nom / Matricule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Période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MM/YYYY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Centre de coût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Manager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098"/>
              <w:gridCol w:w="1098"/>
              <w:gridCol w:w="1098"/>
              <w:gridCol w:w="1098"/>
              <w:gridCol w:w="1098"/>
              <w:gridCol w:w="1098"/>
              <w:gridCol w:w="1098"/>
              <w:gridCol w:w="1098"/>
            </w:tblGrid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Nature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Lieu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Justificatif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€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Montant TTC €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Mode paiement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Remboursable ?</w:t>
                  </w:r>
                </w:p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757"/>
              <w:gridCol w:w="1757"/>
              <w:gridCol w:w="1757"/>
              <w:gridCol w:w="1757"/>
              <w:gridCol w:w="1757"/>
            </w:tblGrid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Transport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Hébergement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Restauration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Divers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TOTAL</w:t>
                  </w:r>
                </w:p>
              </w:tc>
            </w:tr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Circuit de validation</w:t>
            </w:r>
          </w:p>
          <w:p>
            <w:r>
              <w:rPr>
                <w:rFonts w:ascii="Consolas" w:hAnsi="Consolas"/>
                <w:sz w:val="18"/>
              </w:rPr>
              <w:t>Préparateur → Manager → Comptabilité → Paiement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Note de frais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