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Lettre de Relance Paiement — One‑Page</w:t>
            </w:r>
          </w:p>
          <w:p>
            <w:r>
              <w:rPr>
                <w:i/>
              </w:rPr>
              <w:t>Ton professionnel, références et échéancier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57"/>
              <w:gridCol w:w="1757"/>
              <w:gridCol w:w="1757"/>
              <w:gridCol w:w="1757"/>
              <w:gridCol w:w="1757"/>
            </w:tblGrid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Facture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Échéance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Montant TTC €</w:t>
                  </w:r>
                </w:p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Nb jours retard</w:t>
                  </w:r>
                </w:p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75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t>Corps de lettre (modèle) :</w:t>
              <w:br/>
              <w:t>Madame, Monsieur,</w:t>
              <w:br/>
              <w:t>Sauf erreur de notre part, la/les facture(s) ci‑dessus restent impayées. Nous vous proposons un échéancier…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Relance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