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Journal de Caisse — One‑Page</w:t>
            </w:r>
          </w:p>
          <w:p>
            <w:r>
              <w:rPr>
                <w:i/>
              </w:rPr>
              <w:t>Règles de saisie &amp; contrôles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Dépositaire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Période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Plafond caisse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€ …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464"/>
              <w:gridCol w:w="1464"/>
              <w:gridCol w:w="1464"/>
              <w:gridCol w:w="1464"/>
              <w:gridCol w:w="1464"/>
              <w:gridCol w:w="1464"/>
            </w:tblGrid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Pièce</w:t>
                  </w:r>
                </w:p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Libellé</w:t>
                  </w:r>
                </w:p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Entrée €</w:t>
                  </w:r>
                </w:p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Sortie €</w:t>
                  </w:r>
                </w:p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Solde €</w:t>
                  </w:r>
                </w:p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464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Journal de caisse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