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10"/>
            <w:shd w:val="clear" w:color="auto" w:fill="0043CE"/>
            <w:vAlign w:val="top"/>
          </w:tcPr>
          <w:p/>
        </w:tc>
        <w:tc>
          <w:tcPr>
            <w:tcW w:type="dxa" w:w="9071"/>
            <w:vAlign w:val="top"/>
          </w:tcPr>
          <w:p>
            <w:r>
              <w:rPr>
                <w:b/>
                <w:color w:val="0043CE"/>
                <w:sz w:val="28"/>
              </w:rPr>
              <w:t>Fiche de calibration des barèmes</w:t>
            </w:r>
          </w:p>
          <w:p>
            <w:r>
              <w:rPr>
                <w:i/>
              </w:rPr>
              <w:t>Version 2025-09-18 — Style &amp; couleurs modernisés</w:t>
            </w:r>
          </w:p>
          <w:tbl>
            <w:tblPr>
              <w:tblW w:type="auto" w:w="0"/>
              <w:jc w:val="left"/>
              <w:tblLook w:firstColumn="1" w:firstRow="1" w:lastColumn="0" w:lastRow="0" w:noHBand="0" w:noVBand="1" w:val="04A0"/>
            </w:tblPr>
            <w:tblGrid>
              <w:gridCol w:w="4535"/>
              <w:gridCol w:w="4535"/>
            </w:tblGrid>
            <w:tr>
              <w:tc>
                <w:tcPr>
                  <w:tcW w:type="dxa" w:w="3402"/>
                  <w:shd w:val="clear" w:color="auto" w:fill="F2F4F8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>
                  <w:r>
                    <w:rPr>
                      <w:b/>
                      <w:color w:val="1F2937"/>
                    </w:rPr>
                    <w:t>Objet</w:t>
                  </w:r>
                </w:p>
              </w:tc>
              <w:tc>
                <w:tcPr>
                  <w:tcW w:type="dxa" w:w="5669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>
                  <w:r>
                    <w:t>Aligner les barèmes (ex. prime, commissions, notations, niveaux de compétence).</w:t>
                  </w:r>
                </w:p>
              </w:tc>
            </w:tr>
            <w:tr>
              <w:tc>
                <w:tcPr>
                  <w:tcW w:type="dxa" w:w="3402"/>
                  <w:shd w:val="clear" w:color="auto" w:fill="F2F4F8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>
                  <w:r>
                    <w:rPr>
                      <w:b/>
                      <w:color w:val="1F2937"/>
                    </w:rPr>
                    <w:t>Périmètre</w:t>
                  </w:r>
                </w:p>
              </w:tc>
              <w:tc>
                <w:tcPr>
                  <w:tcW w:type="dxa" w:w="5669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>
                  <w:r>
                    <w:t>Population / périodes / sources de données couvertes.</w:t>
                  </w:r>
                </w:p>
              </w:tc>
            </w:tr>
            <w:tr>
              <w:tc>
                <w:tcPr>
                  <w:tcW w:type="dxa" w:w="3402"/>
                  <w:shd w:val="clear" w:color="auto" w:fill="F2F4F8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>
                  <w:r>
                    <w:rPr>
                      <w:b/>
                      <w:color w:val="1F2937"/>
                    </w:rPr>
                    <w:t>Responsable / Copil</w:t>
                  </w:r>
                </w:p>
              </w:tc>
              <w:tc>
                <w:tcPr>
                  <w:tcW w:type="dxa" w:w="5669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>
                  <w:r>
                    <w:t>……………… / ………………</w:t>
                  </w:r>
                </w:p>
              </w:tc>
            </w:tr>
            <w:tr>
              <w:tc>
                <w:tcPr>
                  <w:tcW w:type="dxa" w:w="3402"/>
                  <w:shd w:val="clear" w:color="auto" w:fill="F2F4F8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>
                  <w:r>
                    <w:rPr>
                      <w:b/>
                      <w:color w:val="1F2937"/>
                    </w:rPr>
                    <w:t>Validations attendues</w:t>
                  </w:r>
                </w:p>
              </w:tc>
              <w:tc>
                <w:tcPr>
                  <w:tcW w:type="dxa" w:w="5669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>
                  <w:r>
                    <w:t>RH • Finance • Managers • Représentants</w:t>
                  </w:r>
                </w:p>
              </w:tc>
            </w:tr>
          </w:tbl>
          <w:p/>
          <w:p>
            <w:r>
              <w:rPr>
                <w:b/>
              </w:rPr>
              <w:t>1) Barèmes à calibrer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1814"/>
              <w:gridCol w:w="1814"/>
              <w:gridCol w:w="1814"/>
              <w:gridCol w:w="1814"/>
              <w:gridCol w:w="1814"/>
            </w:tblGrid>
            <w:tr>
              <w:tc>
                <w:tcPr>
                  <w:tcW w:type="dxa" w:w="2835"/>
                  <w:shd w:val="clear" w:color="auto" w:fill="0043CE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>
                  <w:r>
                    <w:rPr>
                      <w:b/>
                      <w:color w:val="FFFFFF"/>
                    </w:rPr>
                    <w:t>Barème</w:t>
                  </w:r>
                </w:p>
              </w:tc>
              <w:tc>
                <w:tcPr>
                  <w:tcW w:type="dxa" w:w="2268"/>
                  <w:shd w:val="clear" w:color="auto" w:fill="0043CE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>
                  <w:r>
                    <w:rPr>
                      <w:b/>
                      <w:color w:val="FFFFFF"/>
                    </w:rPr>
                    <w:t>Version actuelle</w:t>
                  </w:r>
                </w:p>
              </w:tc>
              <w:tc>
                <w:tcPr>
                  <w:tcW w:type="dxa" w:w="2835"/>
                  <w:shd w:val="clear" w:color="auto" w:fill="0043CE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>
                  <w:r>
                    <w:rPr>
                      <w:b/>
                      <w:color w:val="FFFFFF"/>
                    </w:rPr>
                    <w:t>Nouvelle proposition</w:t>
                  </w:r>
                </w:p>
              </w:tc>
              <w:tc>
                <w:tcPr>
                  <w:tcW w:type="dxa" w:w="1417"/>
                  <w:shd w:val="clear" w:color="auto" w:fill="0043CE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>
                  <w:r>
                    <w:rPr>
                      <w:b/>
                      <w:color w:val="FFFFFF"/>
                    </w:rPr>
                    <w:t>Unité</w:t>
                  </w:r>
                </w:p>
              </w:tc>
              <w:tc>
                <w:tcPr>
                  <w:tcW w:type="dxa" w:w="3402"/>
                  <w:shd w:val="clear" w:color="auto" w:fill="0043CE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>
                  <w:r>
                    <w:rPr>
                      <w:b/>
                      <w:color w:val="FFFFFF"/>
                    </w:rPr>
                    <w:t>Commentaires</w:t>
                  </w:r>
                </w:p>
              </w:tc>
            </w:tr>
            <w:tr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</w:tr>
            <w:tr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</w:tr>
            <w:tr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</w:tr>
          </w:tbl>
          <w:p/>
          <w:p>
            <w:r>
              <w:rPr>
                <w:b/>
              </w:rPr>
              <w:t>2) Critères &amp; niveaux (échelles)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1512"/>
              <w:gridCol w:w="1512"/>
              <w:gridCol w:w="1512"/>
              <w:gridCol w:w="1512"/>
              <w:gridCol w:w="1512"/>
              <w:gridCol w:w="1512"/>
            </w:tblGrid>
            <w:tr>
              <w:tc>
                <w:tcPr>
                  <w:tcW w:type="dxa" w:w="2551"/>
                  <w:shd w:val="clear" w:color="auto" w:fill="0043CE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>
                  <w:r>
                    <w:rPr>
                      <w:b/>
                      <w:color w:val="FFFFFF"/>
                    </w:rPr>
                    <w:t>Critère</w:t>
                  </w:r>
                </w:p>
              </w:tc>
              <w:tc>
                <w:tcPr>
                  <w:tcW w:type="dxa" w:w="1984"/>
                  <w:shd w:val="clear" w:color="auto" w:fill="0043CE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>
                  <w:r>
                    <w:rPr>
                      <w:b/>
                      <w:color w:val="FFFFFF"/>
                    </w:rPr>
                    <w:t>Déf. niveau 1</w:t>
                  </w:r>
                </w:p>
              </w:tc>
              <w:tc>
                <w:tcPr>
                  <w:tcW w:type="dxa" w:w="1984"/>
                  <w:shd w:val="clear" w:color="auto" w:fill="0043CE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>
                  <w:r>
                    <w:rPr>
                      <w:b/>
                      <w:color w:val="FFFFFF"/>
                    </w:rPr>
                    <w:t>Niveau 2</w:t>
                  </w:r>
                </w:p>
              </w:tc>
              <w:tc>
                <w:tcPr>
                  <w:tcW w:type="dxa" w:w="1984"/>
                  <w:shd w:val="clear" w:color="auto" w:fill="0043CE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>
                  <w:r>
                    <w:rPr>
                      <w:b/>
                      <w:color w:val="FFFFFF"/>
                    </w:rPr>
                    <w:t>Niveau 3</w:t>
                  </w:r>
                </w:p>
              </w:tc>
              <w:tc>
                <w:tcPr>
                  <w:tcW w:type="dxa" w:w="1984"/>
                  <w:shd w:val="clear" w:color="auto" w:fill="0043CE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>
                  <w:r>
                    <w:rPr>
                      <w:b/>
                      <w:color w:val="FFFFFF"/>
                    </w:rPr>
                    <w:t>Niveau 4</w:t>
                  </w:r>
                </w:p>
              </w:tc>
              <w:tc>
                <w:tcPr>
                  <w:tcW w:type="dxa" w:w="1984"/>
                  <w:shd w:val="clear" w:color="auto" w:fill="0043CE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>
                  <w:r>
                    <w:rPr>
                      <w:b/>
                      <w:color w:val="FFFFFF"/>
                    </w:rPr>
                    <w:t>Niveau 5</w:t>
                  </w:r>
                </w:p>
              </w:tc>
            </w:tr>
            <w:tr>
              <w:tc>
                <w:tcPr>
                  <w:tcW w:type="dxa" w:w="1512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512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512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512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512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512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</w:tr>
            <w:tr>
              <w:tc>
                <w:tcPr>
                  <w:tcW w:type="dxa" w:w="1512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512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512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512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512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512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</w:tr>
          </w:tbl>
          <w:p/>
          <w:p>
            <w:r>
              <w:rPr>
                <w:b/>
              </w:rPr>
              <w:t>3) Échantillon &amp; méthode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1814"/>
              <w:gridCol w:w="1814"/>
              <w:gridCol w:w="1814"/>
              <w:gridCol w:w="1814"/>
              <w:gridCol w:w="1814"/>
            </w:tblGrid>
            <w:tr>
              <w:tc>
                <w:tcPr>
                  <w:tcW w:type="dxa" w:w="2268"/>
                  <w:shd w:val="clear" w:color="auto" w:fill="F2F4F8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>
                  <w:r>
                    <w:rPr>
                      <w:b/>
                      <w:color w:val="000000"/>
                    </w:rPr>
                    <w:t>Segment</w:t>
                  </w:r>
                </w:p>
              </w:tc>
              <w:tc>
                <w:tcPr>
                  <w:tcW w:type="dxa" w:w="1701"/>
                  <w:shd w:val="clear" w:color="auto" w:fill="F2F4F8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>
                  <w:r>
                    <w:rPr>
                      <w:b/>
                      <w:color w:val="000000"/>
                    </w:rPr>
                    <w:t>Nb pers./cas</w:t>
                  </w:r>
                </w:p>
              </w:tc>
              <w:tc>
                <w:tcPr>
                  <w:tcW w:type="dxa" w:w="2268"/>
                  <w:shd w:val="clear" w:color="auto" w:fill="F2F4F8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>
                  <w:r>
                    <w:rPr>
                      <w:b/>
                      <w:color w:val="000000"/>
                    </w:rPr>
                    <w:t>Source</w:t>
                  </w:r>
                </w:p>
              </w:tc>
              <w:tc>
                <w:tcPr>
                  <w:tcW w:type="dxa" w:w="3402"/>
                  <w:shd w:val="clear" w:color="auto" w:fill="F2F4F8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>
                  <w:r>
                    <w:rPr>
                      <w:b/>
                      <w:color w:val="000000"/>
                    </w:rPr>
                    <w:t>Méthode (médiane, percentile…)</w:t>
                  </w:r>
                </w:p>
              </w:tc>
              <w:tc>
                <w:tcPr>
                  <w:tcW w:type="dxa" w:w="3402"/>
                  <w:shd w:val="clear" w:color="auto" w:fill="F2F4F8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>
                  <w:r>
                    <w:rPr>
                      <w:b/>
                      <w:color w:val="000000"/>
                    </w:rPr>
                    <w:t>Notes</w:t>
                  </w:r>
                </w:p>
              </w:tc>
            </w:tr>
            <w:tr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</w:tr>
            <w:tr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</w:tr>
            <w:tr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</w:tr>
          </w:tbl>
          <w:p/>
          <w:p>
            <w:r>
              <w:rPr>
                <w:b/>
              </w:rPr>
              <w:t>4) Résultats &amp; écarts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1814"/>
              <w:gridCol w:w="1814"/>
              <w:gridCol w:w="1814"/>
              <w:gridCol w:w="1814"/>
              <w:gridCol w:w="1814"/>
            </w:tblGrid>
            <w:tr>
              <w:tc>
                <w:tcPr>
                  <w:tcW w:type="dxa" w:w="3402"/>
                  <w:shd w:val="clear" w:color="auto" w:fill="F2F4F8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>
                  <w:r>
                    <w:rPr>
                      <w:b/>
                      <w:color w:val="000000"/>
                    </w:rPr>
                    <w:t>Indicateur</w:t>
                  </w:r>
                </w:p>
              </w:tc>
              <w:tc>
                <w:tcPr>
                  <w:tcW w:type="dxa" w:w="1701"/>
                  <w:shd w:val="clear" w:color="auto" w:fill="F2F4F8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>
                  <w:r>
                    <w:rPr>
                      <w:b/>
                      <w:color w:val="000000"/>
                    </w:rPr>
                    <w:t>Avant</w:t>
                  </w:r>
                </w:p>
              </w:tc>
              <w:tc>
                <w:tcPr>
                  <w:tcW w:type="dxa" w:w="1701"/>
                  <w:shd w:val="clear" w:color="auto" w:fill="F2F4F8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>
                  <w:r>
                    <w:rPr>
                      <w:b/>
                      <w:color w:val="000000"/>
                    </w:rPr>
                    <w:t>Après prop.</w:t>
                  </w:r>
                </w:p>
              </w:tc>
              <w:tc>
                <w:tcPr>
                  <w:tcW w:type="dxa" w:w="1701"/>
                  <w:shd w:val="clear" w:color="auto" w:fill="F2F4F8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>
                  <w:r>
                    <w:rPr>
                      <w:b/>
                      <w:color w:val="000000"/>
                    </w:rPr>
                    <w:t>Écart</w:t>
                  </w:r>
                </w:p>
              </w:tc>
              <w:tc>
                <w:tcPr>
                  <w:tcW w:type="dxa" w:w="3402"/>
                  <w:shd w:val="clear" w:color="auto" w:fill="F2F4F8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>
                  <w:r>
                    <w:rPr>
                      <w:b/>
                      <w:color w:val="000000"/>
                    </w:rPr>
                    <w:t>Commentaires</w:t>
                  </w:r>
                </w:p>
              </w:tc>
            </w:tr>
            <w:tr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</w:tr>
            <w:tr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</w:tr>
            <w:tr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</w:tr>
          </w:tbl>
          <w:p/>
          <w:p>
            <w:r>
              <w:rPr>
                <w:b/>
              </w:rPr>
              <w:t>5) Décisions de calibration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268"/>
              <w:gridCol w:w="2268"/>
              <w:gridCol w:w="2268"/>
              <w:gridCol w:w="2268"/>
            </w:tblGrid>
            <w:tr>
              <w:tc>
                <w:tcPr>
                  <w:tcW w:type="dxa" w:w="2835"/>
                  <w:shd w:val="clear" w:color="auto" w:fill="0E9F6E"/>
                  <w:tcBorders>
                    <w:top w:val="single" w:sz="10" w:color="0E9F6E"/>
                    <w:left w:val="single" w:sz="10" w:color="0E9F6E"/>
                    <w:bottom w:val="single" w:sz="10" w:color="0E9F6E"/>
                    <w:right w:val="single" w:sz="10" w:color="0E9F6E"/>
                  </w:tcBorders>
                </w:tcPr>
                <w:p>
                  <w:r>
                    <w:rPr>
                      <w:b/>
                      <w:color w:val="FFFFFF"/>
                    </w:rPr>
                    <w:t>Décision</w:t>
                  </w:r>
                </w:p>
              </w:tc>
              <w:tc>
                <w:tcPr>
                  <w:tcW w:type="dxa" w:w="4535"/>
                  <w:shd w:val="clear" w:color="auto" w:fill="0E9F6E"/>
                  <w:tcBorders>
                    <w:top w:val="single" w:sz="10" w:color="0E9F6E"/>
                    <w:left w:val="single" w:sz="10" w:color="0E9F6E"/>
                    <w:bottom w:val="single" w:sz="10" w:color="0E9F6E"/>
                    <w:right w:val="single" w:sz="10" w:color="0E9F6E"/>
                  </w:tcBorders>
                </w:tcPr>
                <w:p>
                  <w:r>
                    <w:rPr>
                      <w:b/>
                      <w:color w:val="FFFFFF"/>
                    </w:rPr>
                    <w:t>Justification</w:t>
                  </w:r>
                </w:p>
              </w:tc>
              <w:tc>
                <w:tcPr>
                  <w:tcW w:type="dxa" w:w="1984"/>
                  <w:shd w:val="clear" w:color="auto" w:fill="0E9F6E"/>
                  <w:tcBorders>
                    <w:top w:val="single" w:sz="10" w:color="0E9F6E"/>
                    <w:left w:val="single" w:sz="10" w:color="0E9F6E"/>
                    <w:bottom w:val="single" w:sz="10" w:color="0E9F6E"/>
                    <w:right w:val="single" w:sz="10" w:color="0E9F6E"/>
                  </w:tcBorders>
                </w:tcPr>
                <w:p>
                  <w:r>
                    <w:rPr>
                      <w:b/>
                      <w:color w:val="FFFFFF"/>
                    </w:rPr>
                    <w:t>Date d’effet</w:t>
                  </w:r>
                </w:p>
              </w:tc>
              <w:tc>
                <w:tcPr>
                  <w:tcW w:type="dxa" w:w="2835"/>
                  <w:shd w:val="clear" w:color="auto" w:fill="0E9F6E"/>
                  <w:tcBorders>
                    <w:top w:val="single" w:sz="10" w:color="0E9F6E"/>
                    <w:left w:val="single" w:sz="10" w:color="0E9F6E"/>
                    <w:bottom w:val="single" w:sz="10" w:color="0E9F6E"/>
                    <w:right w:val="single" w:sz="10" w:color="0E9F6E"/>
                  </w:tcBorders>
                </w:tcPr>
                <w:p>
                  <w:r>
                    <w:rPr>
                      <w:b/>
                      <w:color w:val="FFFFFF"/>
                    </w:rPr>
                    <w:t>Impacts (coût/équité)</w:t>
                  </w:r>
                </w:p>
              </w:tc>
            </w:tr>
            <w:tr>
              <w:tc>
                <w:tcPr>
                  <w:tcW w:type="dxa" w:w="2268"/>
                  <w:tcBorders>
                    <w:top w:val="single" w:sz="10" w:color="0E9F6E"/>
                    <w:left w:val="single" w:sz="10" w:color="0E9F6E"/>
                    <w:bottom w:val="single" w:sz="10" w:color="0E9F6E"/>
                    <w:right w:val="single" w:sz="10" w:color="0E9F6E"/>
                  </w:tcBorders>
                </w:tcPr>
                <w:p/>
              </w:tc>
              <w:tc>
                <w:tcPr>
                  <w:tcW w:type="dxa" w:w="2268"/>
                  <w:tcBorders>
                    <w:top w:val="single" w:sz="10" w:color="0E9F6E"/>
                    <w:left w:val="single" w:sz="10" w:color="0E9F6E"/>
                    <w:bottom w:val="single" w:sz="10" w:color="0E9F6E"/>
                    <w:right w:val="single" w:sz="10" w:color="0E9F6E"/>
                  </w:tcBorders>
                </w:tcPr>
                <w:p/>
              </w:tc>
              <w:tc>
                <w:tcPr>
                  <w:tcW w:type="dxa" w:w="2268"/>
                  <w:tcBorders>
                    <w:top w:val="single" w:sz="10" w:color="0E9F6E"/>
                    <w:left w:val="single" w:sz="10" w:color="0E9F6E"/>
                    <w:bottom w:val="single" w:sz="10" w:color="0E9F6E"/>
                    <w:right w:val="single" w:sz="10" w:color="0E9F6E"/>
                  </w:tcBorders>
                </w:tcPr>
                <w:p/>
              </w:tc>
              <w:tc>
                <w:tcPr>
                  <w:tcW w:type="dxa" w:w="2268"/>
                  <w:tcBorders>
                    <w:top w:val="single" w:sz="10" w:color="0E9F6E"/>
                    <w:left w:val="single" w:sz="10" w:color="0E9F6E"/>
                    <w:bottom w:val="single" w:sz="10" w:color="0E9F6E"/>
                    <w:right w:val="single" w:sz="10" w:color="0E9F6E"/>
                  </w:tcBorders>
                </w:tcPr>
                <w:p/>
              </w:tc>
            </w:tr>
            <w:tr>
              <w:tc>
                <w:tcPr>
                  <w:tcW w:type="dxa" w:w="2268"/>
                  <w:tcBorders>
                    <w:top w:val="single" w:sz="10" w:color="0E9F6E"/>
                    <w:left w:val="single" w:sz="10" w:color="0E9F6E"/>
                    <w:bottom w:val="single" w:sz="10" w:color="0E9F6E"/>
                    <w:right w:val="single" w:sz="10" w:color="0E9F6E"/>
                  </w:tcBorders>
                </w:tcPr>
                <w:p/>
              </w:tc>
              <w:tc>
                <w:tcPr>
                  <w:tcW w:type="dxa" w:w="2268"/>
                  <w:tcBorders>
                    <w:top w:val="single" w:sz="10" w:color="0E9F6E"/>
                    <w:left w:val="single" w:sz="10" w:color="0E9F6E"/>
                    <w:bottom w:val="single" w:sz="10" w:color="0E9F6E"/>
                    <w:right w:val="single" w:sz="10" w:color="0E9F6E"/>
                  </w:tcBorders>
                </w:tcPr>
                <w:p/>
              </w:tc>
              <w:tc>
                <w:tcPr>
                  <w:tcW w:type="dxa" w:w="2268"/>
                  <w:tcBorders>
                    <w:top w:val="single" w:sz="10" w:color="0E9F6E"/>
                    <w:left w:val="single" w:sz="10" w:color="0E9F6E"/>
                    <w:bottom w:val="single" w:sz="10" w:color="0E9F6E"/>
                    <w:right w:val="single" w:sz="10" w:color="0E9F6E"/>
                  </w:tcBorders>
                </w:tcPr>
                <w:p/>
              </w:tc>
              <w:tc>
                <w:tcPr>
                  <w:tcW w:type="dxa" w:w="2268"/>
                  <w:tcBorders>
                    <w:top w:val="single" w:sz="10" w:color="0E9F6E"/>
                    <w:left w:val="single" w:sz="10" w:color="0E9F6E"/>
                    <w:bottom w:val="single" w:sz="10" w:color="0E9F6E"/>
                    <w:right w:val="single" w:sz="10" w:color="0E9F6E"/>
                  </w:tcBorders>
                </w:tcPr>
                <w:p/>
              </w:tc>
            </w:tr>
            <w:tr>
              <w:tc>
                <w:tcPr>
                  <w:tcW w:type="dxa" w:w="2268"/>
                  <w:tcBorders>
                    <w:top w:val="single" w:sz="10" w:color="0E9F6E"/>
                    <w:left w:val="single" w:sz="10" w:color="0E9F6E"/>
                    <w:bottom w:val="single" w:sz="10" w:color="0E9F6E"/>
                    <w:right w:val="single" w:sz="10" w:color="0E9F6E"/>
                  </w:tcBorders>
                </w:tcPr>
                <w:p/>
              </w:tc>
              <w:tc>
                <w:tcPr>
                  <w:tcW w:type="dxa" w:w="2268"/>
                  <w:tcBorders>
                    <w:top w:val="single" w:sz="10" w:color="0E9F6E"/>
                    <w:left w:val="single" w:sz="10" w:color="0E9F6E"/>
                    <w:bottom w:val="single" w:sz="10" w:color="0E9F6E"/>
                    <w:right w:val="single" w:sz="10" w:color="0E9F6E"/>
                  </w:tcBorders>
                </w:tcPr>
                <w:p/>
              </w:tc>
              <w:tc>
                <w:tcPr>
                  <w:tcW w:type="dxa" w:w="2268"/>
                  <w:tcBorders>
                    <w:top w:val="single" w:sz="10" w:color="0E9F6E"/>
                    <w:left w:val="single" w:sz="10" w:color="0E9F6E"/>
                    <w:bottom w:val="single" w:sz="10" w:color="0E9F6E"/>
                    <w:right w:val="single" w:sz="10" w:color="0E9F6E"/>
                  </w:tcBorders>
                </w:tcPr>
                <w:p/>
              </w:tc>
              <w:tc>
                <w:tcPr>
                  <w:tcW w:type="dxa" w:w="2268"/>
                  <w:tcBorders>
                    <w:top w:val="single" w:sz="10" w:color="0E9F6E"/>
                    <w:left w:val="single" w:sz="10" w:color="0E9F6E"/>
                    <w:bottom w:val="single" w:sz="10" w:color="0E9F6E"/>
                    <w:right w:val="single" w:sz="10" w:color="0E9F6E"/>
                  </w:tcBorders>
                </w:tcPr>
                <w:p/>
              </w:tc>
            </w:tr>
          </w:tbl>
          <w:p/>
          <w:p>
            <w:r>
              <w:rPr>
                <w:b/>
              </w:rPr>
              <w:t>6) Plan d’application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268"/>
              <w:gridCol w:w="2268"/>
              <w:gridCol w:w="2268"/>
              <w:gridCol w:w="2268"/>
            </w:tblGrid>
            <w:tr>
              <w:tc>
                <w:tcPr>
                  <w:tcW w:type="dxa" w:w="3969"/>
                  <w:shd w:val="clear" w:color="auto" w:fill="0043CE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>
                  <w:r>
                    <w:rPr>
                      <w:b/>
                      <w:color w:val="FFFFFF"/>
                    </w:rPr>
                    <w:t>Action</w:t>
                  </w:r>
                </w:p>
              </w:tc>
              <w:tc>
                <w:tcPr>
                  <w:tcW w:type="dxa" w:w="1984"/>
                  <w:shd w:val="clear" w:color="auto" w:fill="0043CE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>
                  <w:r>
                    <w:rPr>
                      <w:b/>
                      <w:color w:val="FFFFFF"/>
                    </w:rPr>
                    <w:t>Responsable</w:t>
                  </w:r>
                </w:p>
              </w:tc>
              <w:tc>
                <w:tcPr>
                  <w:tcW w:type="dxa" w:w="1984"/>
                  <w:shd w:val="clear" w:color="auto" w:fill="0043CE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>
                  <w:r>
                    <w:rPr>
                      <w:b/>
                      <w:color w:val="FFFFFF"/>
                    </w:rPr>
                    <w:t>Échéance</w:t>
                  </w:r>
                </w:p>
              </w:tc>
              <w:tc>
                <w:tcPr>
                  <w:tcW w:type="dxa" w:w="3969"/>
                  <w:shd w:val="clear" w:color="auto" w:fill="0043CE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>
                  <w:r>
                    <w:rPr>
                      <w:b/>
                      <w:color w:val="FFFFFF"/>
                    </w:rPr>
                    <w:t>Livrable / KPI de succès</w:t>
                  </w:r>
                </w:p>
              </w:tc>
            </w:tr>
            <w:tr>
              <w:tc>
                <w:tcPr>
                  <w:tcW w:type="dxa" w:w="2268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2268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2268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2268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</w:tr>
            <w:tr>
              <w:tc>
                <w:tcPr>
                  <w:tcW w:type="dxa" w:w="2268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2268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2268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2268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</w:tr>
            <w:tr>
              <w:tc>
                <w:tcPr>
                  <w:tcW w:type="dxa" w:w="2268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2268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2268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2268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</w:tr>
          </w:tbl>
          <w:p/>
          <w:p>
            <w:r>
              <w:rPr>
                <w:b/>
              </w:rPr>
              <w:t>7) Validation &amp; archivage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1814"/>
              <w:gridCol w:w="1814"/>
              <w:gridCol w:w="1814"/>
              <w:gridCol w:w="1814"/>
              <w:gridCol w:w="1814"/>
            </w:tblGrid>
            <w:tr>
              <w:tc>
                <w:tcPr>
                  <w:tcW w:type="dxa" w:w="1701"/>
                  <w:shd w:val="clear" w:color="auto" w:fill="F2F4F8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>
                  <w:r>
                    <w:rPr>
                      <w:b/>
                      <w:color w:val="000000"/>
                    </w:rPr>
                    <w:t>Rôle</w:t>
                  </w:r>
                </w:p>
              </w:tc>
              <w:tc>
                <w:tcPr>
                  <w:tcW w:type="dxa" w:w="3402"/>
                  <w:shd w:val="clear" w:color="auto" w:fill="F2F4F8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>
                  <w:r>
                    <w:rPr>
                      <w:b/>
                      <w:color w:val="000000"/>
                    </w:rPr>
                    <w:t>Nom</w:t>
                  </w:r>
                </w:p>
              </w:tc>
              <w:tc>
                <w:tcPr>
                  <w:tcW w:type="dxa" w:w="1701"/>
                  <w:shd w:val="clear" w:color="auto" w:fill="F2F4F8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>
                  <w:r>
                    <w:rPr>
                      <w:b/>
                      <w:color w:val="000000"/>
                    </w:rPr>
                    <w:t>Date</w:t>
                  </w:r>
                </w:p>
              </w:tc>
              <w:tc>
                <w:tcPr>
                  <w:tcW w:type="dxa" w:w="2268"/>
                  <w:shd w:val="clear" w:color="auto" w:fill="F2F4F8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>
                  <w:r>
                    <w:rPr>
                      <w:b/>
                      <w:color w:val="000000"/>
                    </w:rPr>
                    <w:t>Signature</w:t>
                  </w:r>
                </w:p>
              </w:tc>
              <w:tc>
                <w:tcPr>
                  <w:tcW w:type="dxa" w:w="4535"/>
                  <w:shd w:val="clear" w:color="auto" w:fill="F2F4F8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>
                  <w:r>
                    <w:rPr>
                      <w:b/>
                      <w:color w:val="000000"/>
                    </w:rPr>
                    <w:t>Lien d’archivage</w:t>
                  </w:r>
                </w:p>
              </w:tc>
            </w:tr>
            <w:tr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>
                  <w:r>
                    <w:t>Préparateur</w:t>
                  </w:r>
                </w:p>
              </w:tc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</w:tr>
            <w:tr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>
                  <w:r>
                    <w:t>Valideur</w:t>
                  </w:r>
                </w:p>
              </w:tc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  <w:tc>
                <w:tcPr>
                  <w:tcW w:type="dxa" w:w="1814"/>
                  <w:tcBorders>
                    <w:top w:val="single" w:sz="10" w:color="0043CE"/>
                    <w:left w:val="single" w:sz="10" w:color="0043CE"/>
                    <w:bottom w:val="single" w:sz="10" w:color="0043CE"/>
                    <w:right w:val="single" w:sz="10" w:color="0043CE"/>
                  </w:tcBorders>
                </w:tcPr>
                <w:p/>
              </w:tc>
            </w:tr>
          </w:tbl>
          <w:p/>
        </w:tc>
      </w:tr>
    </w:tbl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Libre d'usage — One‑Page — Fiche calibration des barèmes — Palette Bleu/Vert — Gratuit pour les utilisateurs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