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Balance Âgée (Synthèse) — One‑Page</w:t>
            </w:r>
          </w:p>
          <w:p>
            <w:r>
              <w:rPr>
                <w:i/>
              </w:rPr>
              <w:t>0‑30 / 31‑60 / 61‑90 / 120+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93"/>
              <w:gridCol w:w="4393"/>
            </w:tblGrid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Type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Clients / Fournisseurs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Date d’arrêté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2025-09-17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Seuil relance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197"/>
              <w:gridCol w:w="2197"/>
              <w:gridCol w:w="2197"/>
              <w:gridCol w:w="2197"/>
            </w:tblGrid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Tranche</w:t>
                  </w:r>
                </w:p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Montant €</w:t>
                  </w:r>
                </w:p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Part %</w:t>
                  </w:r>
                </w:p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Actions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0‑30 j</w:t>
                  </w:r>
                </w:p>
              </w:tc>
              <w:tc>
                <w:tcPr>
                  <w:tcW w:type="dxa" w:w="2197"/>
                </w:tcPr>
                <w:p/>
              </w:tc>
              <w:tc>
                <w:tcPr>
                  <w:tcW w:type="dxa" w:w="2197"/>
                </w:tcPr>
                <w:p/>
              </w:tc>
              <w:tc>
                <w:tcPr>
                  <w:tcW w:type="dxa" w:w="2197"/>
                </w:tcPr>
                <w:p>
                  <w:r>
                    <w:t>Relance / Plan d’apurement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31‑60 j</w:t>
                  </w:r>
                </w:p>
              </w:tc>
              <w:tc>
                <w:tcPr>
                  <w:tcW w:type="dxa" w:w="2197"/>
                </w:tcPr>
                <w:p/>
              </w:tc>
              <w:tc>
                <w:tcPr>
                  <w:tcW w:type="dxa" w:w="2197"/>
                </w:tcPr>
                <w:p/>
              </w:tc>
              <w:tc>
                <w:tcPr>
                  <w:tcW w:type="dxa" w:w="2197"/>
                </w:tcPr>
                <w:p>
                  <w:r>
                    <w:t>Relance / Plan d’apurement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61‑90 j</w:t>
                  </w:r>
                </w:p>
              </w:tc>
              <w:tc>
                <w:tcPr>
                  <w:tcW w:type="dxa" w:w="2197"/>
                </w:tcPr>
                <w:p/>
              </w:tc>
              <w:tc>
                <w:tcPr>
                  <w:tcW w:type="dxa" w:w="2197"/>
                </w:tcPr>
                <w:p/>
              </w:tc>
              <w:tc>
                <w:tcPr>
                  <w:tcW w:type="dxa" w:w="2197"/>
                </w:tcPr>
                <w:p>
                  <w:r>
                    <w:t>Relance / Plan d’apurement</w:t>
                  </w:r>
                </w:p>
              </w:tc>
            </w:tr>
            <w:tr>
              <w:tc>
                <w:tcPr>
                  <w:tcW w:type="dxa" w:w="2197"/>
                </w:tcPr>
                <w:p>
                  <w:r>
                    <w:t>120+ j</w:t>
                  </w:r>
                </w:p>
              </w:tc>
              <w:tc>
                <w:tcPr>
                  <w:tcW w:type="dxa" w:w="2197"/>
                </w:tcPr>
                <w:p/>
              </w:tc>
              <w:tc>
                <w:tcPr>
                  <w:tcW w:type="dxa" w:w="2197"/>
                </w:tcPr>
                <w:p/>
              </w:tc>
              <w:tc>
                <w:tcPr>
                  <w:tcW w:type="dxa" w:w="2197"/>
                </w:tcPr>
                <w:p>
                  <w:r>
                    <w:t>Relance / Plan d’apurement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Balance âgée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