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67"/>
            <w:shd w:val="clear" w:color="auto" w:fill="000000"/>
            <w:vAlign w:val="top"/>
          </w:tcPr>
          <w:p/>
        </w:tc>
        <w:tc>
          <w:tcPr>
            <w:tcW w:type="dxa" w:w="8787"/>
            <w:vAlign w:val="top"/>
          </w:tcPr>
          <w:p>
            <w:r>
              <w:rPr>
                <w:b/>
                <w:sz w:val="28"/>
              </w:rPr>
              <w:t>Avoir Client — One‑Page</w:t>
            </w:r>
          </w:p>
          <w:p>
            <w:r>
              <w:rPr>
                <w:i/>
              </w:rPr>
              <w:t>Raison, références et impacts comptables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4393"/>
              <w:gridCol w:w="4393"/>
            </w:tblGrid>
            <w:tr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Client</w:t>
                  </w:r>
                </w:p>
              </w:tc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t>…</w:t>
                  </w:r>
                </w:p>
              </w:tc>
            </w:tr>
            <w:tr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Avoir n°</w:t>
                  </w:r>
                </w:p>
              </w:tc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t>…</w:t>
                  </w:r>
                </w:p>
              </w:tc>
            </w:tr>
            <w:tr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Facture d’origine</w:t>
                  </w:r>
                </w:p>
              </w:tc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t>…</w:t>
                  </w:r>
                </w:p>
              </w:tc>
            </w:tr>
            <w:tr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Motif</w:t>
                  </w:r>
                </w:p>
              </w:tc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t>Annulation / Remise / Retour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1098"/>
              <w:gridCol w:w="1098"/>
              <w:gridCol w:w="1098"/>
              <w:gridCol w:w="1098"/>
              <w:gridCol w:w="1098"/>
              <w:gridCol w:w="1098"/>
              <w:gridCol w:w="1098"/>
              <w:gridCol w:w="1098"/>
            </w:tblGrid>
            <w:tr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Réf</w:t>
                  </w:r>
                </w:p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Désignation</w:t>
                  </w:r>
                </w:p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Qté</w:t>
                  </w:r>
                </w:p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PU HT</w:t>
                  </w:r>
                </w:p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Total HT</w:t>
                  </w:r>
                </w:p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TVA %</w:t>
                  </w:r>
                </w:p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TVA €</w:t>
                  </w:r>
                </w:p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Total TTC</w:t>
                  </w:r>
                </w:p>
              </w:tc>
            </w:tr>
            <w:tr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</w:tbl>
          <w:p/>
        </w:tc>
      </w:tr>
    </w:tbl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One‑Page — Avoir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