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fill="E6F3FF" w:val="clear"/>
          </w:tcPr>
          <w:p>
            <w:pPr>
              <w:jc w:val="center"/>
            </w:pPr>
            <w:r>
              <w:rPr>
                <w:b/>
                <w:sz w:val="36"/>
              </w:rPr>
              <w:t>NOTE MÉTHODOLOGIQUE — Préremplissage (Services numériques / Intégration SI)</w:t>
            </w:r>
          </w:p>
        </w:tc>
      </w:tr>
    </w:tbl>
    <w:p>
      <w:pPr>
        <w:spacing w:after="160"/>
      </w:pPr>
      <w:r>
        <w:rPr>
          <w:b/>
        </w:rPr>
        <w:t xml:space="preserve">Projet : </w:t>
      </w:r>
      <w:r>
        <w:t xml:space="preserve">________________   </w:t>
      </w:r>
      <w:r>
        <w:rPr>
          <w:b/>
        </w:rPr>
        <w:t xml:space="preserve">Acheteur : </w:t>
      </w:r>
      <w:r>
        <w:t xml:space="preserve">________________   </w:t>
      </w:r>
      <w:r>
        <w:rPr>
          <w:b/>
        </w:rPr>
        <w:t xml:space="preserve">Date : </w:t>
      </w:r>
      <w:r>
        <w:t xml:space="preserve">2025-09-24   </w:t>
      </w:r>
      <w:r>
        <w:rPr>
          <w:b/>
        </w:rPr>
        <w:t xml:space="preserve">Version : </w:t>
      </w:r>
      <w:r>
        <w:t>v1.1</w:t>
      </w:r>
    </w:p>
    <w:p>
      <w:r>
        <w:t>Cette trame est préremplie pour un secteur « services informatiques / intégration SI ». Adaptez les libellés à votre contexte (infrastructure, applicatif, data, support).</w:t>
      </w:r>
    </w:p>
    <w:p>
      <w:r>
        <w:rPr>
          <w:b/>
          <w:sz w:val="24"/>
        </w:rPr>
        <w:t>Exigences typiques (FR + Canada) et exemples de preuves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377"/>
        <w:gridCol w:w="1377"/>
        <w:gridCol w:w="1377"/>
        <w:gridCol w:w="1377"/>
        <w:gridCol w:w="1377"/>
        <w:gridCol w:w="1377"/>
        <w:gridCol w:w="1377"/>
      </w:tblGrid>
      <w:tr>
        <w:tc>
          <w:tcPr>
            <w:tcW w:type="dxa" w:w="680"/>
            <w:shd w:fill="D9E2F3" w:val="clear"/>
          </w:tcPr>
          <w:p>
            <w:r>
              <w:t>ID</w:t>
            </w:r>
          </w:p>
        </w:tc>
        <w:tc>
          <w:tcPr>
            <w:tcW w:type="dxa" w:w="850"/>
            <w:shd w:fill="D9E2F3" w:val="clear"/>
          </w:tcPr>
          <w:p>
            <w:r>
              <w:t>Juridiction</w:t>
            </w:r>
          </w:p>
        </w:tc>
        <w:tc>
          <w:tcPr>
            <w:tcW w:type="dxa" w:w="1247"/>
            <w:shd w:fill="D9E2F3" w:val="clear"/>
          </w:tcPr>
          <w:p>
            <w:r>
              <w:t>Type</w:t>
            </w:r>
          </w:p>
        </w:tc>
        <w:tc>
          <w:tcPr>
            <w:tcW w:type="dxa" w:w="4252"/>
            <w:shd w:fill="D9E2F3" w:val="clear"/>
          </w:tcPr>
          <w:p>
            <w:r>
              <w:t>Formulation de l’exigence (résumé)</w:t>
            </w:r>
          </w:p>
        </w:tc>
        <w:tc>
          <w:tcPr>
            <w:tcW w:type="dxa" w:w="3685"/>
            <w:shd w:fill="D9E2F3" w:val="clear"/>
          </w:tcPr>
          <w:p>
            <w:r>
              <w:t>Réponse attendue (synthèse)</w:t>
            </w:r>
          </w:p>
        </w:tc>
        <w:tc>
          <w:tcPr>
            <w:tcW w:type="dxa" w:w="4252"/>
            <w:shd w:fill="D9E2F3" w:val="clear"/>
          </w:tcPr>
          <w:p>
            <w:r>
              <w:t>Preuves suggérées</w:t>
            </w:r>
          </w:p>
        </w:tc>
        <w:tc>
          <w:tcPr>
            <w:tcW w:type="dxa" w:w="2551"/>
            <w:shd w:fill="D9E2F3" w:val="clear"/>
          </w:tcPr>
          <w:p>
            <w:r>
              <w:t>Renvois (section / annexe)</w:t>
            </w:r>
          </w:p>
        </w:tc>
      </w:tr>
      <w:tr>
        <w:tc>
          <w:tcPr>
            <w:tcW w:type="dxa" w:w="1377"/>
          </w:tcPr>
          <w:p>
            <w:r>
              <w:t>R1</w:t>
            </w:r>
          </w:p>
        </w:tc>
        <w:tc>
          <w:tcPr>
            <w:tcW w:type="dxa" w:w="1377"/>
          </w:tcPr>
          <w:p>
            <w:r>
              <w:t>FR</w:t>
            </w:r>
          </w:p>
        </w:tc>
        <w:tc>
          <w:tcPr>
            <w:tcW w:type="dxa" w:w="1377"/>
          </w:tcPr>
          <w:p>
            <w:r>
              <w:t>Mandatory</w:t>
            </w:r>
          </w:p>
        </w:tc>
        <w:tc>
          <w:tcPr>
            <w:tcW w:type="dxa" w:w="1377"/>
          </w:tcPr>
          <w:p>
            <w:r>
              <w:t>Conformité administrative et capacité juridique (DUME, attestations, assurances).</w:t>
            </w:r>
          </w:p>
        </w:tc>
        <w:tc>
          <w:tcPr>
            <w:tcW w:type="dxa" w:w="1377"/>
          </w:tcPr>
          <w:p>
            <w:r>
              <w:t>Fournir l’ensemble des pièces à jour, signées et conformes au RC.</w:t>
            </w:r>
          </w:p>
        </w:tc>
        <w:tc>
          <w:tcPr>
            <w:tcW w:type="dxa" w:w="1377"/>
          </w:tcPr>
          <w:p>
            <w:r>
              <w:t>DUME signé; Attestations fiscales &amp; sociales &lt; 3 mois; Kbis/extrait; Assurance RCP.</w:t>
            </w:r>
          </w:p>
        </w:tc>
        <w:tc>
          <w:tcPr>
            <w:tcW w:type="dxa" w:w="1377"/>
          </w:tcPr>
          <w:p>
            <w:r>
              <w:t>§5 Qualité &amp; conformité; Annexe A1–A3</w:t>
            </w:r>
          </w:p>
        </w:tc>
      </w:tr>
      <w:tr>
        <w:tc>
          <w:tcPr>
            <w:tcW w:type="dxa" w:w="1377"/>
          </w:tcPr>
          <w:p>
            <w:r>
              <w:t>R2</w:t>
            </w:r>
          </w:p>
        </w:tc>
        <w:tc>
          <w:tcPr>
            <w:tcW w:type="dxa" w:w="1377"/>
          </w:tcPr>
          <w:p>
            <w:r>
              <w:t>CA</w:t>
            </w:r>
          </w:p>
        </w:tc>
        <w:tc>
          <w:tcPr>
            <w:tcW w:type="dxa" w:w="1377"/>
          </w:tcPr>
          <w:p>
            <w:r>
              <w:t>Mandatory</w:t>
            </w:r>
          </w:p>
        </w:tc>
        <w:tc>
          <w:tcPr>
            <w:tcW w:type="dxa" w:w="1377"/>
          </w:tcPr>
          <w:p>
            <w:r>
              <w:t>Qualifications obligatoires des ressources (ex. PM Senior: diplôme + 10 ans + PMP).</w:t>
            </w:r>
          </w:p>
        </w:tc>
        <w:tc>
          <w:tcPr>
            <w:tcW w:type="dxa" w:w="1377"/>
          </w:tcPr>
          <w:p>
            <w:r>
              <w:t>Démontrer le pass/fail pour chaque catégorie.</w:t>
            </w:r>
          </w:p>
        </w:tc>
        <w:tc>
          <w:tcPr>
            <w:tcW w:type="dxa" w:w="1377"/>
          </w:tcPr>
          <w:p>
            <w:r>
              <w:t>CV formatés; Diplômes; Certificat PMP/Prince2; Tableau de conformité CV (page/section).</w:t>
            </w:r>
          </w:p>
        </w:tc>
        <w:tc>
          <w:tcPr>
            <w:tcW w:type="dxa" w:w="1377"/>
          </w:tcPr>
          <w:p>
            <w:r>
              <w:t>§7 Ressources &amp; CV; Annexe B1–B3</w:t>
            </w:r>
          </w:p>
        </w:tc>
      </w:tr>
      <w:tr>
        <w:tc>
          <w:tcPr>
            <w:tcW w:type="dxa" w:w="1377"/>
          </w:tcPr>
          <w:p>
            <w:r>
              <w:t>R3</w:t>
            </w:r>
          </w:p>
        </w:tc>
        <w:tc>
          <w:tcPr>
            <w:tcW w:type="dxa" w:w="1377"/>
          </w:tcPr>
          <w:p>
            <w:r>
              <w:t>FR/CA</w:t>
            </w:r>
          </w:p>
        </w:tc>
        <w:tc>
          <w:tcPr>
            <w:tcW w:type="dxa" w:w="1377"/>
          </w:tcPr>
          <w:p>
            <w:r>
              <w:t>Rated</w:t>
            </w:r>
          </w:p>
        </w:tc>
        <w:tc>
          <w:tcPr>
            <w:tcW w:type="dxa" w:w="1377"/>
          </w:tcPr>
          <w:p>
            <w:r>
              <w:t>Méthodologie de gestion de projet &amp; gouvernance (structure miroir des critères).</w:t>
            </w:r>
          </w:p>
        </w:tc>
        <w:tc>
          <w:tcPr>
            <w:tcW w:type="dxa" w:w="1377"/>
          </w:tcPr>
          <w:p>
            <w:r>
              <w:t>Décrire l’approche, rituels, escalade, change control, reporting.</w:t>
            </w:r>
          </w:p>
        </w:tc>
        <w:tc>
          <w:tcPr>
            <w:tcW w:type="dxa" w:w="1377"/>
          </w:tcPr>
          <w:p>
            <w:r>
              <w:t>Charte projet; RACI; Canevas de comité; Exemple de rapport hebdo.</w:t>
            </w:r>
          </w:p>
        </w:tc>
        <w:tc>
          <w:tcPr>
            <w:tcW w:type="dxa" w:w="1377"/>
          </w:tcPr>
          <w:p>
            <w:r>
              <w:t>§3 Organisation; §5 PMP; Annexe C1–C2</w:t>
            </w:r>
          </w:p>
        </w:tc>
      </w:tr>
      <w:tr>
        <w:tc>
          <w:tcPr>
            <w:tcW w:type="dxa" w:w="1377"/>
          </w:tcPr>
          <w:p>
            <w:r>
              <w:t>R4</w:t>
            </w:r>
          </w:p>
        </w:tc>
        <w:tc>
          <w:tcPr>
            <w:tcW w:type="dxa" w:w="1377"/>
          </w:tcPr>
          <w:p>
            <w:r>
              <w:t>FR/CA</w:t>
            </w:r>
          </w:p>
        </w:tc>
        <w:tc>
          <w:tcPr>
            <w:tcW w:type="dxa" w:w="1377"/>
          </w:tcPr>
          <w:p>
            <w:r>
              <w:t>Rated</w:t>
            </w:r>
          </w:p>
        </w:tc>
        <w:tc>
          <w:tcPr>
            <w:tcW w:type="dxa" w:w="1377"/>
          </w:tcPr>
          <w:p>
            <w:r>
              <w:t>Compréhension du besoin &amp; stratégie de transition (KT, prise en charge, réversibilité).</w:t>
            </w:r>
          </w:p>
        </w:tc>
        <w:tc>
          <w:tcPr>
            <w:tcW w:type="dxa" w:w="1377"/>
          </w:tcPr>
          <w:p>
            <w:r>
              <w:t>Présenter le plan de transition et le runbook avec jalons et DoD.</w:t>
            </w:r>
          </w:p>
        </w:tc>
        <w:tc>
          <w:tcPr>
            <w:tcW w:type="dxa" w:w="1377"/>
          </w:tcPr>
          <w:p>
            <w:r>
              <w:t>Plan de transition; Runbook; Planning de transfert; Checklists d’acceptation.</w:t>
            </w:r>
          </w:p>
        </w:tc>
        <w:tc>
          <w:tcPr>
            <w:tcW w:type="dxa" w:w="1377"/>
          </w:tcPr>
          <w:p>
            <w:r>
              <w:t>§4 Méthodologie; §4.1 Jalons; Annexe D1–D2</w:t>
            </w:r>
          </w:p>
        </w:tc>
      </w:tr>
      <w:tr>
        <w:tc>
          <w:tcPr>
            <w:tcW w:type="dxa" w:w="1377"/>
          </w:tcPr>
          <w:p>
            <w:r>
              <w:t>R5</w:t>
            </w:r>
          </w:p>
        </w:tc>
        <w:tc>
          <w:tcPr>
            <w:tcW w:type="dxa" w:w="1377"/>
          </w:tcPr>
          <w:p>
            <w:r>
              <w:t>FR</w:t>
            </w:r>
          </w:p>
        </w:tc>
        <w:tc>
          <w:tcPr>
            <w:tcW w:type="dxa" w:w="1377"/>
          </w:tcPr>
          <w:p>
            <w:r>
              <w:t>Rated</w:t>
            </w:r>
          </w:p>
        </w:tc>
        <w:tc>
          <w:tcPr>
            <w:tcW w:type="dxa" w:w="1377"/>
          </w:tcPr>
          <w:p>
            <w:r>
              <w:t>Qualité &amp; conformité CCAG/CCAP (contrôles, enregistrements, réception).</w:t>
            </w:r>
          </w:p>
        </w:tc>
        <w:tc>
          <w:tcPr>
            <w:tcW w:type="dxa" w:w="1377"/>
          </w:tcPr>
          <w:p>
            <w:r>
              <w:t>Exposer le système QA/QC, les seuils et la traçabilité documentaire.</w:t>
            </w:r>
          </w:p>
        </w:tc>
        <w:tc>
          <w:tcPr>
            <w:tcW w:type="dxa" w:w="1377"/>
          </w:tcPr>
          <w:p>
            <w:r>
              <w:t>Plan qualité; Procédures ISO 9001; Checklists; PV de réception type.</w:t>
            </w:r>
          </w:p>
        </w:tc>
        <w:tc>
          <w:tcPr>
            <w:tcW w:type="dxa" w:w="1377"/>
          </w:tcPr>
          <w:p>
            <w:r>
              <w:t>§5 Qualité; Annexe E1–E3</w:t>
            </w:r>
          </w:p>
        </w:tc>
      </w:tr>
      <w:tr>
        <w:tc>
          <w:tcPr>
            <w:tcW w:type="dxa" w:w="1377"/>
          </w:tcPr>
          <w:p>
            <w:r>
              <w:t>R6</w:t>
            </w:r>
          </w:p>
        </w:tc>
        <w:tc>
          <w:tcPr>
            <w:tcW w:type="dxa" w:w="1377"/>
          </w:tcPr>
          <w:p>
            <w:r>
              <w:t>CA</w:t>
            </w:r>
          </w:p>
        </w:tc>
        <w:tc>
          <w:tcPr>
            <w:tcW w:type="dxa" w:w="1377"/>
          </w:tcPr>
          <w:p>
            <w:r>
              <w:t>Rated</w:t>
            </w:r>
          </w:p>
        </w:tc>
        <w:tc>
          <w:tcPr>
            <w:tcW w:type="dxa" w:w="1377"/>
          </w:tcPr>
          <w:p>
            <w:r>
              <w:t>Alignement au SOW et critères d’acceptation des livrables.</w:t>
            </w:r>
          </w:p>
        </w:tc>
        <w:tc>
          <w:tcPr>
            <w:tcW w:type="dxa" w:w="1377"/>
          </w:tcPr>
          <w:p>
            <w:r>
              <w:t>Mapper tâches → activités → livrables → DoD et références croisées.</w:t>
            </w:r>
          </w:p>
        </w:tc>
        <w:tc>
          <w:tcPr>
            <w:tcW w:type="dxa" w:w="1377"/>
          </w:tcPr>
          <w:p>
            <w:r>
              <w:t>Matrice d’alignement; Plan de test d’acceptation; Modèle de livrable.</w:t>
            </w:r>
          </w:p>
        </w:tc>
        <w:tc>
          <w:tcPr>
            <w:tcW w:type="dxa" w:w="1377"/>
          </w:tcPr>
          <w:p>
            <w:r>
              <w:t>§4 SOW Alignment; Annexe F1–F2</w:t>
            </w:r>
          </w:p>
        </w:tc>
      </w:tr>
      <w:tr>
        <w:tc>
          <w:tcPr>
            <w:tcW w:type="dxa" w:w="1377"/>
          </w:tcPr>
          <w:p>
            <w:r>
              <w:t>R7</w:t>
            </w:r>
          </w:p>
        </w:tc>
        <w:tc>
          <w:tcPr>
            <w:tcW w:type="dxa" w:w="1377"/>
          </w:tcPr>
          <w:p>
            <w:r>
              <w:t>CA</w:t>
            </w:r>
          </w:p>
        </w:tc>
        <w:tc>
          <w:tcPr>
            <w:tcW w:type="dxa" w:w="1377"/>
          </w:tcPr>
          <w:p>
            <w:r>
              <w:t>Mandatory</w:t>
            </w:r>
          </w:p>
        </w:tc>
        <w:tc>
          <w:tcPr>
            <w:tcW w:type="dxa" w:w="1377"/>
          </w:tcPr>
          <w:p>
            <w:r>
              <w:t>Sécurité &amp; confidentialité (SRCL, screening, résidence des données).</w:t>
            </w:r>
          </w:p>
        </w:tc>
        <w:tc>
          <w:tcPr>
            <w:tcW w:type="dxa" w:w="1377"/>
          </w:tcPr>
          <w:p>
            <w:r>
              <w:t>Déclarer les contrôles, preuves de screening et emplacement des données.</w:t>
            </w:r>
          </w:p>
        </w:tc>
        <w:tc>
          <w:tcPr>
            <w:tcW w:type="dxa" w:w="1377"/>
          </w:tcPr>
          <w:p>
            <w:r>
              <w:t>Lettre PSPC; Politique sécurité; Registre d’accès/logs; Diagrammes d’hébergement (Canada).</w:t>
            </w:r>
          </w:p>
        </w:tc>
        <w:tc>
          <w:tcPr>
            <w:tcW w:type="dxa" w:w="1377"/>
          </w:tcPr>
          <w:p>
            <w:r>
              <w:t>§8 Security &amp; Privacy; Annexe G1–G3</w:t>
            </w:r>
          </w:p>
        </w:tc>
      </w:tr>
      <w:tr>
        <w:tc>
          <w:tcPr>
            <w:tcW w:type="dxa" w:w="1377"/>
          </w:tcPr>
          <w:p>
            <w:r>
              <w:t>R8</w:t>
            </w:r>
          </w:p>
        </w:tc>
        <w:tc>
          <w:tcPr>
            <w:tcW w:type="dxa" w:w="1377"/>
          </w:tcPr>
          <w:p>
            <w:r>
              <w:t>FR/CA</w:t>
            </w:r>
          </w:p>
        </w:tc>
        <w:tc>
          <w:tcPr>
            <w:tcW w:type="dxa" w:w="1377"/>
          </w:tcPr>
          <w:p>
            <w:r>
              <w:t>Rated</w:t>
            </w:r>
          </w:p>
        </w:tc>
        <w:tc>
          <w:tcPr>
            <w:tcW w:type="dxa" w:w="1377"/>
          </w:tcPr>
          <w:p>
            <w:r>
              <w:t>Performance &amp; SLA (OTD, MTTR/MTBF, disponibilité).</w:t>
            </w:r>
          </w:p>
        </w:tc>
        <w:tc>
          <w:tcPr>
            <w:tcW w:type="dxa" w:w="1377"/>
          </w:tcPr>
          <w:p>
            <w:r>
              <w:t>Fournir cibles et mécanismes de mesure, exemples obtenus.</w:t>
            </w:r>
          </w:p>
        </w:tc>
        <w:tc>
          <w:tcPr>
            <w:tcW w:type="dxa" w:w="1377"/>
          </w:tcPr>
          <w:p>
            <w:r>
              <w:t>KPI historiques; Tableaux de bord; SLA signés; Extraits monitoring.</w:t>
            </w:r>
          </w:p>
        </w:tc>
        <w:tc>
          <w:tcPr>
            <w:tcW w:type="dxa" w:w="1377"/>
          </w:tcPr>
          <w:p>
            <w:r>
              <w:t>§8 Indicateurs &amp; reporting; Annexe H1–H2</w:t>
            </w:r>
          </w:p>
        </w:tc>
      </w:tr>
      <w:tr>
        <w:tc>
          <w:tcPr>
            <w:tcW w:type="dxa" w:w="1377"/>
          </w:tcPr>
          <w:p>
            <w:r>
              <w:t>R9</w:t>
            </w:r>
          </w:p>
        </w:tc>
        <w:tc>
          <w:tcPr>
            <w:tcW w:type="dxa" w:w="1377"/>
          </w:tcPr>
          <w:p>
            <w:r>
              <w:t>FR</w:t>
            </w:r>
          </w:p>
        </w:tc>
        <w:tc>
          <w:tcPr>
            <w:tcW w:type="dxa" w:w="1377"/>
          </w:tcPr>
          <w:p>
            <w:r>
              <w:t>Rated</w:t>
            </w:r>
          </w:p>
        </w:tc>
        <w:tc>
          <w:tcPr>
            <w:tcW w:type="dxa" w:w="1377"/>
          </w:tcPr>
          <w:p>
            <w:r>
              <w:t>RSE &amp; empreinte (énergie, déplacements, inclusion, achats responsables).</w:t>
            </w:r>
          </w:p>
        </w:tc>
        <w:tc>
          <w:tcPr>
            <w:tcW w:type="dxa" w:w="1377"/>
          </w:tcPr>
          <w:p>
            <w:r>
              <w:t>Lister actions mesurables et indicateurs de suivi.</w:t>
            </w:r>
          </w:p>
        </w:tc>
        <w:tc>
          <w:tcPr>
            <w:tcW w:type="dxa" w:w="1377"/>
          </w:tcPr>
          <w:p>
            <w:r>
              <w:t>Politique RSE; Bilan carbone; Label/score (ex. EcoVadis); Plan mobilité.</w:t>
            </w:r>
          </w:p>
        </w:tc>
        <w:tc>
          <w:tcPr>
            <w:tcW w:type="dxa" w:w="1377"/>
          </w:tcPr>
          <w:p>
            <w:r>
              <w:t>§10 RSE; Annexe I1–I2</w:t>
            </w:r>
          </w:p>
        </w:tc>
      </w:tr>
      <w:tr>
        <w:tc>
          <w:tcPr>
            <w:tcW w:type="dxa" w:w="1377"/>
          </w:tcPr>
          <w:p>
            <w:r>
              <w:t>R10</w:t>
            </w:r>
          </w:p>
        </w:tc>
        <w:tc>
          <w:tcPr>
            <w:tcW w:type="dxa" w:w="1377"/>
          </w:tcPr>
          <w:p>
            <w:r>
              <w:t>CA</w:t>
            </w:r>
          </w:p>
        </w:tc>
        <w:tc>
          <w:tcPr>
            <w:tcW w:type="dxa" w:w="1377"/>
          </w:tcPr>
          <w:p>
            <w:r>
              <w:t>Rated</w:t>
            </w:r>
          </w:p>
        </w:tc>
        <w:tc>
          <w:tcPr>
            <w:tcW w:type="dxa" w:w="1377"/>
          </w:tcPr>
          <w:p>
            <w:r>
              <w:t>Langues officielles &amp; accessibilité (FR/EN, WCAG 2.1 AA).</w:t>
            </w:r>
          </w:p>
        </w:tc>
        <w:tc>
          <w:tcPr>
            <w:tcW w:type="dxa" w:w="1377"/>
          </w:tcPr>
          <w:p>
            <w:r>
              <w:t>Plan de livrables bilingues et dispositif de QA linguistique et accessibilité.</w:t>
            </w:r>
          </w:p>
        </w:tc>
        <w:tc>
          <w:tcPr>
            <w:tcW w:type="dxa" w:w="1377"/>
          </w:tcPr>
          <w:p>
            <w:r>
              <w:t>Plan bilingue; Processus de relecture; Rapport d’audit WCAG; Gabarits bilingues.</w:t>
            </w:r>
          </w:p>
        </w:tc>
        <w:tc>
          <w:tcPr>
            <w:tcW w:type="dxa" w:w="1377"/>
          </w:tcPr>
          <w:p>
            <w:r>
              <w:t>§9 Official Languages; Annexe J1–J2</w:t>
            </w:r>
          </w:p>
        </w:tc>
      </w:tr>
    </w:tbl>
    <w:p>
      <w:r>
        <w:rPr>
          <w:b/>
        </w:rPr>
        <w:t>KPI recommandés (services IT)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2551"/>
            <w:shd w:fill="D9E2F3" w:val="clear"/>
          </w:tcPr>
          <w:p>
            <w:r>
              <w:t>Indicateur</w:t>
            </w:r>
          </w:p>
        </w:tc>
        <w:tc>
          <w:tcPr>
            <w:tcW w:type="dxa" w:w="3969"/>
            <w:shd w:fill="D9E2F3" w:val="clear"/>
          </w:tcPr>
          <w:p>
            <w:r>
              <w:t>Définition</w:t>
            </w:r>
          </w:p>
        </w:tc>
        <w:tc>
          <w:tcPr>
            <w:tcW w:type="dxa" w:w="1701"/>
            <w:shd w:fill="D9E2F3" w:val="clear"/>
          </w:tcPr>
          <w:p>
            <w:r>
              <w:t>Cible</w:t>
            </w:r>
          </w:p>
        </w:tc>
        <w:tc>
          <w:tcPr>
            <w:tcW w:type="dxa" w:w="3969"/>
            <w:shd w:fill="D9E2F3" w:val="clear"/>
          </w:tcPr>
          <w:p>
            <w:r>
              <w:t>Mode de calcul</w:t>
            </w:r>
          </w:p>
        </w:tc>
        <w:tc>
          <w:tcPr>
            <w:tcW w:type="dxa" w:w="2835"/>
            <w:shd w:fill="D9E2F3" w:val="clear"/>
          </w:tcPr>
          <w:p>
            <w:r>
              <w:t>Preuve</w:t>
            </w:r>
          </w:p>
        </w:tc>
      </w:tr>
      <w:tr>
        <w:tc>
          <w:tcPr>
            <w:tcW w:type="dxa" w:w="1928"/>
          </w:tcPr>
          <w:p>
            <w:r>
              <w:t>OTD (On‑Time Delivery)</w:t>
            </w:r>
          </w:p>
        </w:tc>
        <w:tc>
          <w:tcPr>
            <w:tcW w:type="dxa" w:w="1928"/>
          </w:tcPr>
          <w:p>
            <w:r>
              <w:t>Respect des jalons planifiés</w:t>
            </w:r>
          </w:p>
        </w:tc>
        <w:tc>
          <w:tcPr>
            <w:tcW w:type="dxa" w:w="1928"/>
          </w:tcPr>
          <w:p>
            <w:r>
              <w:t>≥ 98 %</w:t>
            </w:r>
          </w:p>
        </w:tc>
        <w:tc>
          <w:tcPr>
            <w:tcW w:type="dxa" w:w="1928"/>
          </w:tcPr>
          <w:p>
            <w:r>
              <w:t>Livrables à temps / Total livrables</w:t>
            </w:r>
          </w:p>
        </w:tc>
        <w:tc>
          <w:tcPr>
            <w:tcW w:type="dxa" w:w="1928"/>
          </w:tcPr>
          <w:p>
            <w:r>
              <w:t>Tableau de bord jalons</w:t>
            </w:r>
          </w:p>
        </w:tc>
      </w:tr>
      <w:tr>
        <w:tc>
          <w:tcPr>
            <w:tcW w:type="dxa" w:w="1928"/>
          </w:tcPr>
          <w:p>
            <w:r>
              <w:t>Disponibilité service</w:t>
            </w:r>
          </w:p>
        </w:tc>
        <w:tc>
          <w:tcPr>
            <w:tcW w:type="dxa" w:w="1928"/>
          </w:tcPr>
          <w:p>
            <w:r>
              <w:t>Taux de disponibilité mensuel</w:t>
            </w:r>
          </w:p>
        </w:tc>
        <w:tc>
          <w:tcPr>
            <w:tcW w:type="dxa" w:w="1928"/>
          </w:tcPr>
          <w:p>
            <w:r>
              <w:t>≥ 99,5 %</w:t>
            </w:r>
          </w:p>
        </w:tc>
        <w:tc>
          <w:tcPr>
            <w:tcW w:type="dxa" w:w="1928"/>
          </w:tcPr>
          <w:p>
            <w:r>
              <w:t>(Temps total – indispo) / Temps total</w:t>
            </w:r>
          </w:p>
        </w:tc>
        <w:tc>
          <w:tcPr>
            <w:tcW w:type="dxa" w:w="1928"/>
          </w:tcPr>
          <w:p>
            <w:r>
              <w:t>Rapports monitoring</w:t>
            </w:r>
          </w:p>
        </w:tc>
      </w:tr>
      <w:tr>
        <w:tc>
          <w:tcPr>
            <w:tcW w:type="dxa" w:w="1928"/>
          </w:tcPr>
          <w:p>
            <w:r>
              <w:t>MTTR</w:t>
            </w:r>
          </w:p>
        </w:tc>
        <w:tc>
          <w:tcPr>
            <w:tcW w:type="dxa" w:w="1928"/>
          </w:tcPr>
          <w:p>
            <w:r>
              <w:t>Temps moyen de rétablissement P1/P2</w:t>
            </w:r>
          </w:p>
        </w:tc>
        <w:tc>
          <w:tcPr>
            <w:tcW w:type="dxa" w:w="1928"/>
          </w:tcPr>
          <w:p>
            <w:r>
              <w:t>≤ 4 h (P1)</w:t>
            </w:r>
          </w:p>
        </w:tc>
        <w:tc>
          <w:tcPr>
            <w:tcW w:type="dxa" w:w="1928"/>
          </w:tcPr>
          <w:p>
            <w:r>
              <w:t>Somme durées / nb incidents</w:t>
            </w:r>
          </w:p>
        </w:tc>
        <w:tc>
          <w:tcPr>
            <w:tcW w:type="dxa" w:w="1928"/>
          </w:tcPr>
          <w:p>
            <w:r>
              <w:t>ITSM exports</w:t>
            </w:r>
          </w:p>
        </w:tc>
      </w:tr>
      <w:tr>
        <w:tc>
          <w:tcPr>
            <w:tcW w:type="dxa" w:w="1928"/>
          </w:tcPr>
          <w:p>
            <w:r>
              <w:t>Qualité livrables</w:t>
            </w:r>
          </w:p>
        </w:tc>
        <w:tc>
          <w:tcPr>
            <w:tcW w:type="dxa" w:w="1928"/>
          </w:tcPr>
          <w:p>
            <w:r>
              <w:t>Non‑conformités majeures</w:t>
            </w:r>
          </w:p>
        </w:tc>
        <w:tc>
          <w:tcPr>
            <w:tcW w:type="dxa" w:w="1928"/>
          </w:tcPr>
          <w:p>
            <w:r>
              <w:t>≤ 1 %</w:t>
            </w:r>
          </w:p>
        </w:tc>
        <w:tc>
          <w:tcPr>
            <w:tcW w:type="dxa" w:w="1928"/>
          </w:tcPr>
          <w:p>
            <w:r>
              <w:t>NC majeures / livrables</w:t>
            </w:r>
          </w:p>
        </w:tc>
        <w:tc>
          <w:tcPr>
            <w:tcW w:type="dxa" w:w="1928"/>
          </w:tcPr>
          <w:p>
            <w:r>
              <w:t>Registre NC &amp; PV</w:t>
            </w:r>
          </w:p>
        </w:tc>
      </w:tr>
      <w:tr>
        <w:tc>
          <w:tcPr>
            <w:tcW w:type="dxa" w:w="1928"/>
          </w:tcPr>
          <w:p>
            <w:r>
              <w:t>Satisfaction client</w:t>
            </w:r>
          </w:p>
        </w:tc>
        <w:tc>
          <w:tcPr>
            <w:tcW w:type="dxa" w:w="1928"/>
          </w:tcPr>
          <w:p>
            <w:r>
              <w:t>Score mensuel (CSAT)</w:t>
            </w:r>
          </w:p>
        </w:tc>
        <w:tc>
          <w:tcPr>
            <w:tcW w:type="dxa" w:w="1928"/>
          </w:tcPr>
          <w:p>
            <w:r>
              <w:t>≥ 4,4/5</w:t>
            </w:r>
          </w:p>
        </w:tc>
        <w:tc>
          <w:tcPr>
            <w:tcW w:type="dxa" w:w="1928"/>
          </w:tcPr>
          <w:p>
            <w:r>
              <w:t>Moyenne enquêtes sorties</w:t>
            </w:r>
          </w:p>
        </w:tc>
        <w:tc>
          <w:tcPr>
            <w:tcW w:type="dxa" w:w="1928"/>
          </w:tcPr>
          <w:p>
            <w:r>
              <w:t>Rapports CSAT</w:t>
            </w:r>
          </w:p>
        </w:tc>
      </w:tr>
    </w:tbl>
    <w:p>
      <w:r>
        <w:rPr>
          <w:b/>
        </w:rPr>
        <w:t>Top 5 risques &amp; parades (prérempli)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3402"/>
            <w:shd w:fill="D9E2F3" w:val="clear"/>
          </w:tcPr>
          <w:p>
            <w:r>
              <w:t>Risque</w:t>
            </w:r>
          </w:p>
        </w:tc>
        <w:tc>
          <w:tcPr>
            <w:tcW w:type="dxa" w:w="1247"/>
            <w:shd w:fill="D9E2F3" w:val="clear"/>
          </w:tcPr>
          <w:p>
            <w:r>
              <w:t>Prob.</w:t>
            </w:r>
          </w:p>
        </w:tc>
        <w:tc>
          <w:tcPr>
            <w:tcW w:type="dxa" w:w="1247"/>
            <w:shd w:fill="D9E2F3" w:val="clear"/>
          </w:tcPr>
          <w:p>
            <w:r>
              <w:t>Impact</w:t>
            </w:r>
          </w:p>
        </w:tc>
        <w:tc>
          <w:tcPr>
            <w:tcW w:type="dxa" w:w="4535"/>
            <w:shd w:fill="D9E2F3" w:val="clear"/>
          </w:tcPr>
          <w:p>
            <w:r>
              <w:t>Parade</w:t>
            </w:r>
          </w:p>
        </w:tc>
        <w:tc>
          <w:tcPr>
            <w:tcW w:type="dxa" w:w="2835"/>
            <w:shd w:fill="D9E2F3" w:val="clear"/>
          </w:tcPr>
          <w:p>
            <w:r>
              <w:t>Déclencheur</w:t>
            </w:r>
          </w:p>
        </w:tc>
      </w:tr>
      <w:tr>
        <w:tc>
          <w:tcPr>
            <w:tcW w:type="dxa" w:w="1928"/>
          </w:tcPr>
          <w:p>
            <w:r>
              <w:t>Accès site retardé</w:t>
            </w:r>
          </w:p>
        </w:tc>
        <w:tc>
          <w:tcPr>
            <w:tcW w:type="dxa" w:w="1928"/>
          </w:tcPr>
          <w:p>
            <w:r>
              <w:t>M</w:t>
            </w:r>
          </w:p>
        </w:tc>
        <w:tc>
          <w:tcPr>
            <w:tcW w:type="dxa" w:w="1928"/>
          </w:tcPr>
          <w:p>
            <w:r>
              <w:t>H</w:t>
            </w:r>
          </w:p>
        </w:tc>
        <w:tc>
          <w:tcPr>
            <w:tcW w:type="dxa" w:w="1928"/>
          </w:tcPr>
          <w:p>
            <w:r>
              <w:t>Créneaux alternatifs, équipes en horaires décalés</w:t>
            </w:r>
          </w:p>
        </w:tc>
        <w:tc>
          <w:tcPr>
            <w:tcW w:type="dxa" w:w="1928"/>
          </w:tcPr>
          <w:p>
            <w:r>
              <w:t>Alerte D‑7 / mail site</w:t>
            </w:r>
          </w:p>
        </w:tc>
      </w:tr>
      <w:tr>
        <w:tc>
          <w:tcPr>
            <w:tcW w:type="dxa" w:w="1928"/>
          </w:tcPr>
          <w:p>
            <w:r>
              <w:t>Données insuffisantes</w:t>
            </w:r>
          </w:p>
        </w:tc>
        <w:tc>
          <w:tcPr>
            <w:tcW w:type="dxa" w:w="1928"/>
          </w:tcPr>
          <w:p>
            <w:r>
              <w:t>M</w:t>
            </w:r>
          </w:p>
        </w:tc>
        <w:tc>
          <w:tcPr>
            <w:tcW w:type="dxa" w:w="1928"/>
          </w:tcPr>
          <w:p>
            <w:r>
              <w:t>M</w:t>
            </w:r>
          </w:p>
        </w:tc>
        <w:tc>
          <w:tcPr>
            <w:tcW w:type="dxa" w:w="1928"/>
          </w:tcPr>
          <w:p>
            <w:r>
              <w:t>Ateliers cadrage, hypothèses validées, itérations rapides</w:t>
            </w:r>
          </w:p>
        </w:tc>
        <w:tc>
          <w:tcPr>
            <w:tcW w:type="dxa" w:w="1928"/>
          </w:tcPr>
          <w:p>
            <w:r>
              <w:t>Livrable non qualifié</w:t>
            </w:r>
          </w:p>
        </w:tc>
      </w:tr>
      <w:tr>
        <w:tc>
          <w:tcPr>
            <w:tcW w:type="dxa" w:w="1928"/>
          </w:tcPr>
          <w:p>
            <w:r>
              <w:t>Ressource critique indispo</w:t>
            </w:r>
          </w:p>
        </w:tc>
        <w:tc>
          <w:tcPr>
            <w:tcW w:type="dxa" w:w="1928"/>
          </w:tcPr>
          <w:p>
            <w:r>
              <w:t>F</w:t>
            </w:r>
          </w:p>
        </w:tc>
        <w:tc>
          <w:tcPr>
            <w:tcW w:type="dxa" w:w="1928"/>
          </w:tcPr>
          <w:p>
            <w:r>
              <w:t>H</w:t>
            </w:r>
          </w:p>
        </w:tc>
        <w:tc>
          <w:tcPr>
            <w:tcW w:type="dxa" w:w="1928"/>
          </w:tcPr>
          <w:p>
            <w:r>
              <w:t>Back‑up nominatif, vivier externe, overlap 10 j</w:t>
            </w:r>
          </w:p>
        </w:tc>
        <w:tc>
          <w:tcPr>
            <w:tcW w:type="dxa" w:w="1928"/>
          </w:tcPr>
          <w:p>
            <w:r>
              <w:t>Absence &gt; 48 h</w:t>
            </w:r>
          </w:p>
        </w:tc>
      </w:tr>
      <w:tr>
        <w:tc>
          <w:tcPr>
            <w:tcW w:type="dxa" w:w="1928"/>
          </w:tcPr>
          <w:p>
            <w:r>
              <w:t>Montée en charge sous‑estimée</w:t>
            </w:r>
          </w:p>
        </w:tc>
        <w:tc>
          <w:tcPr>
            <w:tcW w:type="dxa" w:w="1928"/>
          </w:tcPr>
          <w:p>
            <w:r>
              <w:t>M</w:t>
            </w:r>
          </w:p>
        </w:tc>
        <w:tc>
          <w:tcPr>
            <w:tcW w:type="dxa" w:w="1928"/>
          </w:tcPr>
          <w:p>
            <w:r>
              <w:t>M</w:t>
            </w:r>
          </w:p>
        </w:tc>
        <w:tc>
          <w:tcPr>
            <w:tcW w:type="dxa" w:w="1928"/>
          </w:tcPr>
          <w:p>
            <w:r>
              <w:t>Capacité tampon, sprint correctif, priorisation</w:t>
            </w:r>
          </w:p>
        </w:tc>
        <w:tc>
          <w:tcPr>
            <w:tcW w:type="dxa" w:w="1928"/>
          </w:tcPr>
          <w:p>
            <w:r>
              <w:t>Backlog &gt; seuil</w:t>
            </w:r>
          </w:p>
        </w:tc>
      </w:tr>
      <w:tr>
        <w:tc>
          <w:tcPr>
            <w:tcW w:type="dxa" w:w="1928"/>
          </w:tcPr>
          <w:p>
            <w:r>
              <w:t>Incident de sécurité</w:t>
            </w:r>
          </w:p>
        </w:tc>
        <w:tc>
          <w:tcPr>
            <w:tcW w:type="dxa" w:w="1928"/>
          </w:tcPr>
          <w:p>
            <w:r>
              <w:t>F</w:t>
            </w:r>
          </w:p>
        </w:tc>
        <w:tc>
          <w:tcPr>
            <w:tcW w:type="dxa" w:w="1928"/>
          </w:tcPr>
          <w:p>
            <w:r>
              <w:t>H</w:t>
            </w:r>
          </w:p>
        </w:tc>
        <w:tc>
          <w:tcPr>
            <w:tcW w:type="dxa" w:w="1928"/>
          </w:tcPr>
          <w:p>
            <w:r>
              <w:t>Hardening, MFA, journalisation, plan de réponse P1</w:t>
            </w:r>
          </w:p>
        </w:tc>
        <w:tc>
          <w:tcPr>
            <w:tcW w:type="dxa" w:w="1928"/>
          </w:tcPr>
          <w:p>
            <w:r>
              <w:t>Détection SIEM</w:t>
            </w:r>
          </w:p>
        </w:tc>
      </w:tr>
    </w:tbl>
    <w:p>
      <w:r>
        <w:rPr>
          <w:b/>
        </w:rPr>
        <w:t>Annexes &amp; pièces de preuve — mapping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1417"/>
            <w:shd w:fill="D9E2F3" w:val="clear"/>
          </w:tcPr>
          <w:p>
            <w:r>
              <w:t>Référence</w:t>
            </w:r>
          </w:p>
        </w:tc>
        <w:tc>
          <w:tcPr>
            <w:tcW w:type="dxa" w:w="5102"/>
            <w:shd w:fill="D9E2F3" w:val="clear"/>
          </w:tcPr>
          <w:p>
            <w:r>
              <w:t>Intitulé</w:t>
            </w:r>
          </w:p>
        </w:tc>
        <w:tc>
          <w:tcPr>
            <w:tcW w:type="dxa" w:w="3402"/>
            <w:shd w:fill="D9E2F3" w:val="clear"/>
          </w:tcPr>
          <w:p>
            <w:r>
              <w:t>Emplacement (doc/page)</w:t>
            </w:r>
          </w:p>
        </w:tc>
        <w:tc>
          <w:tcPr>
            <w:tcW w:type="dxa" w:w="2268"/>
            <w:shd w:fill="D9E2F3" w:val="clear"/>
          </w:tcPr>
          <w:p>
            <w:r>
              <w:t>Relie à (R#)</w:t>
            </w:r>
          </w:p>
        </w:tc>
      </w:tr>
      <w:tr>
        <w:tc>
          <w:tcPr>
            <w:tcW w:type="dxa" w:w="2409"/>
          </w:tcPr>
          <w:p>
            <w:r>
              <w:t>A1</w:t>
            </w:r>
          </w:p>
        </w:tc>
        <w:tc>
          <w:tcPr>
            <w:tcW w:type="dxa" w:w="2409"/>
          </w:tcPr>
          <w:p>
            <w:r>
              <w:t>DUME signé</w:t>
            </w:r>
          </w:p>
        </w:tc>
        <w:tc>
          <w:tcPr>
            <w:tcW w:type="dxa" w:w="2409"/>
          </w:tcPr>
          <w:p>
            <w:r>
              <w:t>PDF / p.1‑3</w:t>
            </w:r>
          </w:p>
        </w:tc>
        <w:tc>
          <w:tcPr>
            <w:tcW w:type="dxa" w:w="2409"/>
          </w:tcPr>
          <w:p>
            <w:r>
              <w:t>R1</w:t>
            </w:r>
          </w:p>
        </w:tc>
      </w:tr>
      <w:tr>
        <w:tc>
          <w:tcPr>
            <w:tcW w:type="dxa" w:w="2409"/>
          </w:tcPr>
          <w:p>
            <w:r>
              <w:t>A2</w:t>
            </w:r>
          </w:p>
        </w:tc>
        <w:tc>
          <w:tcPr>
            <w:tcW w:type="dxa" w:w="2409"/>
          </w:tcPr>
          <w:p>
            <w:r>
              <w:t>Attestations fiscales &amp; sociales</w:t>
            </w:r>
          </w:p>
        </w:tc>
        <w:tc>
          <w:tcPr>
            <w:tcW w:type="dxa" w:w="2409"/>
          </w:tcPr>
          <w:p>
            <w:r>
              <w:t>PDF / p.4‑5</w:t>
            </w:r>
          </w:p>
        </w:tc>
        <w:tc>
          <w:tcPr>
            <w:tcW w:type="dxa" w:w="2409"/>
          </w:tcPr>
          <w:p>
            <w:r>
              <w:t>R1</w:t>
            </w:r>
          </w:p>
        </w:tc>
      </w:tr>
      <w:tr>
        <w:tc>
          <w:tcPr>
            <w:tcW w:type="dxa" w:w="2409"/>
          </w:tcPr>
          <w:p>
            <w:r>
              <w:t>B1</w:t>
            </w:r>
          </w:p>
        </w:tc>
        <w:tc>
          <w:tcPr>
            <w:tcW w:type="dxa" w:w="2409"/>
          </w:tcPr>
          <w:p>
            <w:r>
              <w:t>CV Chef de projet + Diplôme + PMP</w:t>
            </w:r>
          </w:p>
        </w:tc>
        <w:tc>
          <w:tcPr>
            <w:tcW w:type="dxa" w:w="2409"/>
          </w:tcPr>
          <w:p>
            <w:r>
              <w:t>CV / p.1‑3</w:t>
            </w:r>
          </w:p>
        </w:tc>
        <w:tc>
          <w:tcPr>
            <w:tcW w:type="dxa" w:w="2409"/>
          </w:tcPr>
          <w:p>
            <w:r>
              <w:t>R2</w:t>
            </w:r>
          </w:p>
        </w:tc>
      </w:tr>
      <w:tr>
        <w:tc>
          <w:tcPr>
            <w:tcW w:type="dxa" w:w="2409"/>
          </w:tcPr>
          <w:p>
            <w:r>
              <w:t>C1</w:t>
            </w:r>
          </w:p>
        </w:tc>
        <w:tc>
          <w:tcPr>
            <w:tcW w:type="dxa" w:w="2409"/>
          </w:tcPr>
          <w:p>
            <w:r>
              <w:t>Charte projet &amp; RACI</w:t>
            </w:r>
          </w:p>
        </w:tc>
        <w:tc>
          <w:tcPr>
            <w:tcW w:type="dxa" w:w="2409"/>
          </w:tcPr>
          <w:p>
            <w:r>
              <w:t>DOC / p.2‑6</w:t>
            </w:r>
          </w:p>
        </w:tc>
        <w:tc>
          <w:tcPr>
            <w:tcW w:type="dxa" w:w="2409"/>
          </w:tcPr>
          <w:p>
            <w:r>
              <w:t>R3</w:t>
            </w:r>
          </w:p>
        </w:tc>
      </w:tr>
      <w:tr>
        <w:tc>
          <w:tcPr>
            <w:tcW w:type="dxa" w:w="2409"/>
          </w:tcPr>
          <w:p>
            <w:r>
              <w:t>D1</w:t>
            </w:r>
          </w:p>
        </w:tc>
        <w:tc>
          <w:tcPr>
            <w:tcW w:type="dxa" w:w="2409"/>
          </w:tcPr>
          <w:p>
            <w:r>
              <w:t>Plan de transition &amp; runbook</w:t>
            </w:r>
          </w:p>
        </w:tc>
        <w:tc>
          <w:tcPr>
            <w:tcW w:type="dxa" w:w="2409"/>
          </w:tcPr>
          <w:p>
            <w:r>
              <w:t>DOC / p.1‑10</w:t>
            </w:r>
          </w:p>
        </w:tc>
        <w:tc>
          <w:tcPr>
            <w:tcW w:type="dxa" w:w="2409"/>
          </w:tcPr>
          <w:p>
            <w:r>
              <w:t>R4</w:t>
            </w:r>
          </w:p>
        </w:tc>
      </w:tr>
      <w:tr>
        <w:tc>
          <w:tcPr>
            <w:tcW w:type="dxa" w:w="2409"/>
          </w:tcPr>
          <w:p>
            <w:r>
              <w:t>E1</w:t>
            </w:r>
          </w:p>
        </w:tc>
        <w:tc>
          <w:tcPr>
            <w:tcW w:type="dxa" w:w="2409"/>
          </w:tcPr>
          <w:p>
            <w:r>
              <w:t>Plan qualité ISO 9001</w:t>
            </w:r>
          </w:p>
        </w:tc>
        <w:tc>
          <w:tcPr>
            <w:tcW w:type="dxa" w:w="2409"/>
          </w:tcPr>
          <w:p>
            <w:r>
              <w:t>DOC / p.1‑8</w:t>
            </w:r>
          </w:p>
        </w:tc>
        <w:tc>
          <w:tcPr>
            <w:tcW w:type="dxa" w:w="2409"/>
          </w:tcPr>
          <w:p>
            <w:r>
              <w:t>R5</w:t>
            </w:r>
          </w:p>
        </w:tc>
      </w:tr>
      <w:tr>
        <w:tc>
          <w:tcPr>
            <w:tcW w:type="dxa" w:w="2409"/>
          </w:tcPr>
          <w:p>
            <w:r>
              <w:t>F1</w:t>
            </w:r>
          </w:p>
        </w:tc>
        <w:tc>
          <w:tcPr>
            <w:tcW w:type="dxa" w:w="2409"/>
          </w:tcPr>
          <w:p>
            <w:r>
              <w:t>Matrice SOW → DoD</w:t>
            </w:r>
          </w:p>
        </w:tc>
        <w:tc>
          <w:tcPr>
            <w:tcW w:type="dxa" w:w="2409"/>
          </w:tcPr>
          <w:p>
            <w:r>
              <w:t>XLS / onglet SOW</w:t>
            </w:r>
          </w:p>
        </w:tc>
        <w:tc>
          <w:tcPr>
            <w:tcW w:type="dxa" w:w="2409"/>
          </w:tcPr>
          <w:p>
            <w:r>
              <w:t>R6</w:t>
            </w:r>
          </w:p>
        </w:tc>
      </w:tr>
      <w:tr>
        <w:tc>
          <w:tcPr>
            <w:tcW w:type="dxa" w:w="2409"/>
          </w:tcPr>
          <w:p>
            <w:r>
              <w:t>G1</w:t>
            </w:r>
          </w:p>
        </w:tc>
        <w:tc>
          <w:tcPr>
            <w:tcW w:type="dxa" w:w="2409"/>
          </w:tcPr>
          <w:p>
            <w:r>
              <w:t>Lettre SRCL / politiques sécurité</w:t>
            </w:r>
          </w:p>
        </w:tc>
        <w:tc>
          <w:tcPr>
            <w:tcW w:type="dxa" w:w="2409"/>
          </w:tcPr>
          <w:p>
            <w:r>
              <w:t>PDF / p.1‑4</w:t>
            </w:r>
          </w:p>
        </w:tc>
        <w:tc>
          <w:tcPr>
            <w:tcW w:type="dxa" w:w="2409"/>
          </w:tcPr>
          <w:p>
            <w:r>
              <w:t>R7</w:t>
            </w:r>
          </w:p>
        </w:tc>
      </w:tr>
      <w:tr>
        <w:tc>
          <w:tcPr>
            <w:tcW w:type="dxa" w:w="2409"/>
          </w:tcPr>
          <w:p>
            <w:r>
              <w:t>H1</w:t>
            </w:r>
          </w:p>
        </w:tc>
        <w:tc>
          <w:tcPr>
            <w:tcW w:type="dxa" w:w="2409"/>
          </w:tcPr>
          <w:p>
            <w:r>
              <w:t>Extraits KPI &amp; SLA signés</w:t>
            </w:r>
          </w:p>
        </w:tc>
        <w:tc>
          <w:tcPr>
            <w:tcW w:type="dxa" w:w="2409"/>
          </w:tcPr>
          <w:p>
            <w:r>
              <w:t>XLS / onglet KPI</w:t>
            </w:r>
          </w:p>
        </w:tc>
        <w:tc>
          <w:tcPr>
            <w:tcW w:type="dxa" w:w="2409"/>
          </w:tcPr>
          <w:p>
            <w:r>
              <w:t>R8</w:t>
            </w:r>
          </w:p>
        </w:tc>
      </w:tr>
      <w:tr>
        <w:tc>
          <w:tcPr>
            <w:tcW w:type="dxa" w:w="2409"/>
          </w:tcPr>
          <w:p>
            <w:r>
              <w:t>I1</w:t>
            </w:r>
          </w:p>
        </w:tc>
        <w:tc>
          <w:tcPr>
            <w:tcW w:type="dxa" w:w="2409"/>
          </w:tcPr>
          <w:p>
            <w:r>
              <w:t>Politique RSE &amp; Bilan carbone</w:t>
            </w:r>
          </w:p>
        </w:tc>
        <w:tc>
          <w:tcPr>
            <w:tcW w:type="dxa" w:w="2409"/>
          </w:tcPr>
          <w:p>
            <w:r>
              <w:t>PDF / p.1‑6</w:t>
            </w:r>
          </w:p>
        </w:tc>
        <w:tc>
          <w:tcPr>
            <w:tcW w:type="dxa" w:w="2409"/>
          </w:tcPr>
          <w:p>
            <w:r>
              <w:t>R9</w:t>
            </w:r>
          </w:p>
        </w:tc>
      </w:tr>
      <w:tr>
        <w:tc>
          <w:tcPr>
            <w:tcW w:type="dxa" w:w="2409"/>
          </w:tcPr>
          <w:p>
            <w:r>
              <w:t>J1</w:t>
            </w:r>
          </w:p>
        </w:tc>
        <w:tc>
          <w:tcPr>
            <w:tcW w:type="dxa" w:w="2409"/>
          </w:tcPr>
          <w:p>
            <w:r>
              <w:t>Plan bilingue &amp; audit WCAG</w:t>
            </w:r>
          </w:p>
        </w:tc>
        <w:tc>
          <w:tcPr>
            <w:tcW w:type="dxa" w:w="2409"/>
          </w:tcPr>
          <w:p>
            <w:r>
              <w:t>PDF / p.1‑5</w:t>
            </w:r>
          </w:p>
        </w:tc>
        <w:tc>
          <w:tcPr>
            <w:tcW w:type="dxa" w:w="2409"/>
          </w:tcPr>
          <w:p>
            <w:r>
              <w:t>R10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Note méthodologique (préremplie IT, FR + Canada)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