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44"/>
        </w:rPr>
        <w:t>Modèles Word — Contrôle Qualité Soudage</w:t>
      </w:r>
    </w:p>
    <w:p>
      <w:r>
        <w:rPr>
          <w:sz w:val="20"/>
        </w:rPr>
        <w:t>VT / PT / MT • EN ISO 5817 (B/C/D) • AMDEC Soudage • Contrôle Dimensionnel  |  Généré le 2025-09-08</w:t>
      </w:r>
    </w:p>
    <w:p/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F4E79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VT — Plan de contrôle visuel (défauts typiques)</w:t>
            </w:r>
          </w:p>
        </w:tc>
      </w:tr>
    </w:tbl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719"/>
        <w:gridCol w:w="1719"/>
        <w:gridCol w:w="1719"/>
        <w:gridCol w:w="1719"/>
        <w:gridCol w:w="1719"/>
        <w:gridCol w:w="1719"/>
      </w:tblGrid>
      <w:tr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Point de contrôle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Défaut typique / Référence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Critères d’acceptation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Méthode (éclairage, angle, outillage)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Fréquence / Échantillonnage</w:t>
            </w:r>
          </w:p>
        </w:tc>
        <w:tc>
          <w:tcPr>
            <w:tcW w:type="dxa" w:w="1719"/>
            <w:shd w:val="clear" w:color="auto" w:fill="D9E1F2"/>
          </w:tcPr>
          <w:p>
            <w:r>
              <w:rPr>
                <w:b/>
              </w:rPr>
              <w:t>Enregistrements / Trace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  <w:tr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  <w:tc>
          <w:tcPr>
            <w:tcW w:type="dxa" w:w="171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Préciser l’éclairage (lux), distance/angle d’observation, propreté des pièces et état des surfaces.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1B998B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PT — Procédure simple (ressuage)</w:t>
            </w:r>
          </w:p>
        </w:tc>
      </w:tr>
    </w:tbl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Étape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Action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Produit/Type (couleur/fluorescent)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Temps (pénétration, évaporation)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Nettoyage / Développement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Critères (indications, cartographie)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Sécurité / EPI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Renseigner marques/lot, conditions (T°, hygrométrie), temps de pénétration et de développement.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F39C12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MT — Critères (magnétoscopie)</w:t>
            </w:r>
          </w:p>
        </w:tc>
      </w:tr>
    </w:tbl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Zone / Orientation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Technique (AC/DC, yoke/banc)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Intensité / Champ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Indications (linéaires/arrondies)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Critères d’acceptation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Démagnétisation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Enregistrements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Spécifier orientation du champ vs. discontinuités, niveaux d’aimantation, supports de comparaison, exigences de démagnétisation.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6A5ACD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EN ISO 5817 — Fiche d’acceptation (niveaux B/C/D)</w:t>
            </w:r>
          </w:p>
        </w:tc>
      </w:tr>
    </w:tbl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473"/>
        <w:gridCol w:w="1473"/>
        <w:gridCol w:w="1473"/>
        <w:gridCol w:w="1473"/>
        <w:gridCol w:w="1473"/>
        <w:gridCol w:w="1473"/>
        <w:gridCol w:w="1473"/>
      </w:tblGrid>
      <w:tr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Projet / Soudage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Procédé (111/135/141…)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Matériau / Épaisseur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Niveau visé (B/C/D)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Type d’imperfection (référence)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Critère d’acceptation (à renseigner)</w:t>
            </w:r>
          </w:p>
        </w:tc>
        <w:tc>
          <w:tcPr>
            <w:tcW w:type="dxa" w:w="1473"/>
            <w:shd w:val="clear" w:color="auto" w:fill="D9E1F2"/>
          </w:tcPr>
          <w:p>
            <w:r>
              <w:rPr>
                <w:b/>
              </w:rPr>
              <w:t>Décision (Accepter / Retoucher)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  <w:tr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  <w:tc>
          <w:tcPr>
            <w:tcW w:type="dxa" w:w="1473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Renseigner les critères selon l’édition du référentiel applicable. Indiquer la clause de référence sans la reproduire intégralement.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2E7D32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AMDEC Soudage — Risques procédé &amp; actions</w:t>
            </w:r>
          </w:p>
        </w:tc>
      </w:tr>
    </w:tbl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  <w:gridCol w:w="859"/>
      </w:tblGrid>
      <w:tr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Étape procédé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Mode de défaillance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Effets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Gravité (G)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Causes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Occurrence (O)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Détection (D)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PRN (G×O×D)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Actions correctives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Responsable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859"/>
            <w:shd w:val="clear" w:color="auto" w:fill="D9E1F2"/>
          </w:tcPr>
          <w:p>
            <w:r>
              <w:rPr>
                <w:b/>
              </w:rPr>
              <w:t>Statut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  <w:tr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  <w:tc>
          <w:tcPr>
            <w:tcW w:type="dxa" w:w="859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Cibler d’abord les PRN élevés. Préciser moyens de maîtrise (procédé, outillage, formation, contrôle).</w:t>
      </w:r>
    </w:p>
    <w:tbl>
      <w:tblPr>
        <w:tblW w:type="auto" w:w="0"/>
        <w:jc w:val="left"/>
        <w:tblLayout w:type="fixed"/>
        <w:tblLook w:firstColumn="1" w:firstRow="1" w:lastColumn="0" w:lastRow="0" w:noHBand="0" w:noVBand="1" w:val="04A0"/>
      </w:tblPr>
      <w:tblGrid>
        <w:gridCol w:w="5156"/>
        <w:gridCol w:w="5156"/>
      </w:tblGrid>
      <w:tr>
        <w:tc>
          <w:tcPr>
            <w:tcW w:type="dxa" w:w="340"/>
            <w:shd w:val="clear" w:color="auto" w:fill="C0392B"/>
          </w:tcPr>
          <w:p/>
        </w:tc>
        <w:tc>
          <w:tcPr>
            <w:tcW w:type="dxa" w:w="9071"/>
          </w:tcPr>
          <w:p>
            <w:pPr>
              <w:jc w:val="left"/>
            </w:pPr>
            <w:r>
              <w:rPr>
                <w:b/>
                <w:sz w:val="32"/>
              </w:rPr>
              <w:t>Contrôle dimensionnel / Gabarits — Checklist</w:t>
            </w:r>
          </w:p>
        </w:tc>
      </w:tr>
    </w:tbl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1146"/>
        <w:gridCol w:w="1146"/>
        <w:gridCol w:w="1146"/>
        <w:gridCol w:w="1146"/>
        <w:gridCol w:w="1146"/>
        <w:gridCol w:w="1146"/>
        <w:gridCol w:w="1146"/>
        <w:gridCol w:w="1146"/>
        <w:gridCol w:w="1146"/>
      </w:tblGrid>
      <w:tr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Caractéristique</w:t>
            </w:r>
          </w:p>
        </w:tc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Tolérance (USL/LSL)</w:t>
            </w:r>
          </w:p>
        </w:tc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Méthode / Instrument</w:t>
            </w:r>
          </w:p>
        </w:tc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ID gabarit / Étalon</w:t>
            </w:r>
          </w:p>
        </w:tc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Étalonnage (date/échéance)</w:t>
            </w:r>
          </w:p>
        </w:tc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Mesure relevée</w:t>
            </w:r>
          </w:p>
        </w:tc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Décision (OK/NOK)</w:t>
            </w:r>
          </w:p>
        </w:tc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Opérateur / Date</w:t>
            </w:r>
          </w:p>
        </w:tc>
        <w:tc>
          <w:tcPr>
            <w:tcW w:type="dxa" w:w="1146"/>
            <w:shd w:val="clear" w:color="auto" w:fill="D9E1F2"/>
          </w:tcPr>
          <w:p>
            <w:r>
              <w:rPr>
                <w:b/>
              </w:rPr>
              <w:t>Remarques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  <w:tr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  <w:tc>
          <w:tcPr>
            <w:tcW w:type="dxa" w:w="1146"/>
          </w:tcPr>
          <w:p>
            <w:r>
              <w:t xml:space="preserve">☐ </w:t>
            </w:r>
          </w:p>
        </w:tc>
      </w:tr>
    </w:tbl>
    <w:p>
      <w:r>
        <w:rPr>
          <w:i/>
          <w:sz w:val="18"/>
        </w:rPr>
        <w:t>Indiquer la résolution de l’instrument, l’incertitude si disponible, et le statut d’étalonnage.</w:t>
      </w:r>
    </w:p>
    <w:p>
      <w:r>
        <w:t xml:space="preserve"> </w:t>
      </w:r>
    </w:p>
    <w:p>
      <w:r>
        <w:rPr>
          <w:sz w:val="18"/>
        </w:rPr>
        <w:t>Astuce : utilisez “☐ / ☑” pour cocher. Adaptez les colonnes à votre contexte (procédés, matériaux, niveaux d’acceptation).</w:t>
      </w:r>
    </w:p>
    <w:sectPr w:rsidR="00FC693F" w:rsidRPr="0006063C" w:rsidSect="00034616">
      <w:pgSz w:w="12240" w:h="15840"/>
      <w:pgMar w:top="907" w:right="907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