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F4E79"/>
          <w:sz w:val="40"/>
        </w:rPr>
        <w:t>FEUILLE DE ROUTE — DIGITALISATION</w:t>
      </w:r>
    </w:p>
    <w:p>
      <w:pPr>
        <w:jc w:val="center"/>
      </w:pPr>
      <w:r>
        <w:rPr>
          <w:color w:val="336699"/>
          <w:sz w:val="22"/>
        </w:rPr>
        <w:t>Modèle opérationnel avec RACI, KPIs, risques et rétroplanning</w:t>
      </w:r>
    </w:p>
    <w:p>
      <w:pPr>
        <w:jc w:val="center"/>
      </w:pPr>
      <w:r>
        <w:rPr>
          <w:color w:val="555555"/>
          <w:sz w:val="18"/>
        </w:rPr>
        <w:t>Version : 2025-09-21  —  Auteur : ________</w:t>
      </w:r>
    </w:p>
    <w:p/>
    <w:p>
      <w:pPr>
        <w:spacing w:before="200" w:after="60"/>
      </w:pPr>
      <w:r>
        <w:rPr>
          <w:b/>
          <w:color w:val="1F4E79"/>
          <w:sz w:val="26"/>
        </w:rPr>
        <w:t>1. CONTEXTE &amp; OBJECTIFS</w:t>
      </w:r>
    </w:p>
    <w:p>
      <w:r>
        <w:rPr>
          <w:i/>
          <w:color w:val="555555"/>
          <w:sz w:val="18"/>
        </w:rPr>
        <w:t>Expliquez pourquoi le programme est lancé, vos bénéfices attendus (coûts, qualité, délai, expérience client) et les jalons majeurs.</w:t>
      </w:r>
    </w:p>
    <w:p>
      <w:r>
        <w:t>• Contexte : ____________________________________________________________</w:t>
      </w:r>
    </w:p>
    <w:p>
      <w:r>
        <w:t>• Objectifs SMART : _________________________________________________</w:t>
      </w:r>
    </w:p>
    <w:p>
      <w:r>
        <w:t>• Parties prenantes clés : ___________________________________________</w:t>
      </w:r>
    </w:p>
    <w:p>
      <w:pPr>
        <w:spacing w:before="200" w:after="60"/>
      </w:pPr>
      <w:r>
        <w:rPr>
          <w:b/>
          <w:color w:val="1F4E79"/>
          <w:sz w:val="26"/>
        </w:rPr>
        <w:t>2. PÉRIMÈTRE &amp; HYPOTHÈSES</w:t>
      </w:r>
    </w:p>
    <w:p>
      <w:r>
        <w:t>• Périmètre fonctionnel : ____________________________________________</w:t>
      </w:r>
    </w:p>
    <w:p>
      <w:r>
        <w:t>• Hypothèses structurantes : ________________________________________</w:t>
      </w:r>
    </w:p>
    <w:p>
      <w:r>
        <w:t>• Hors périmètre : __________________________________________________</w:t>
      </w:r>
    </w:p>
    <w:p>
      <w:pPr>
        <w:spacing w:before="200" w:after="60"/>
      </w:pPr>
      <w:r>
        <w:rPr>
          <w:b/>
          <w:color w:val="1F4E79"/>
          <w:sz w:val="26"/>
        </w:rPr>
        <w:t>3. GOUVERNANCE (RACI)</w:t>
      </w:r>
    </w:p>
    <w:p>
      <w:r>
        <w:rPr>
          <w:i/>
          <w:color w:val="555555"/>
          <w:sz w:val="18"/>
        </w:rPr>
        <w:t>Indiquez qui est Responsable (R), Approbateur (A), Consulté (C) et Informé (I) pour chaque activité.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304"/>
        <w:gridCol w:w="2304"/>
        <w:gridCol w:w="2304"/>
        <w:gridCol w:w="2304"/>
        <w:gridCol w:w="2304"/>
        <w:gridCol w:w="2304"/>
      </w:tblGrid>
      <w:tr>
        <w:tc>
          <w:tcPr>
            <w:tcW w:type="dxa" w:w="2304"/>
            <w:shd w:fill="1F4E79"/>
          </w:tcPr>
          <w:p>
            <w:r>
              <w:rPr>
                <w:b/>
                <w:color w:val="FFFFFF"/>
              </w:rPr>
              <w:t>Activité</w:t>
            </w:r>
          </w:p>
        </w:tc>
        <w:tc>
          <w:tcPr>
            <w:tcW w:type="dxa" w:w="2304"/>
            <w:shd w:fill="1F4E79"/>
          </w:tcPr>
          <w:p>
            <w:r>
              <w:rPr>
                <w:b/>
                <w:color w:val="FFFFFF"/>
              </w:rPr>
              <w:t>Direction</w:t>
            </w:r>
          </w:p>
        </w:tc>
        <w:tc>
          <w:tcPr>
            <w:tcW w:type="dxa" w:w="2304"/>
            <w:shd w:fill="1F4E79"/>
          </w:tcPr>
          <w:p>
            <w:r>
              <w:rPr>
                <w:b/>
                <w:color w:val="FFFFFF"/>
              </w:rPr>
              <w:t>DSI</w:t>
            </w:r>
          </w:p>
        </w:tc>
        <w:tc>
          <w:tcPr>
            <w:tcW w:type="dxa" w:w="2304"/>
            <w:shd w:fill="1F4E79"/>
          </w:tcPr>
          <w:p>
            <w:r>
              <w:rPr>
                <w:b/>
                <w:color w:val="FFFFFF"/>
              </w:rPr>
              <w:t>Métiers</w:t>
            </w:r>
          </w:p>
        </w:tc>
        <w:tc>
          <w:tcPr>
            <w:tcW w:type="dxa" w:w="2304"/>
            <w:shd w:fill="1F4E79"/>
          </w:tcPr>
          <w:p>
            <w:r>
              <w:rPr>
                <w:b/>
                <w:color w:val="FFFFFF"/>
              </w:rPr>
              <w:t>Finance</w:t>
            </w:r>
          </w:p>
        </w:tc>
        <w:tc>
          <w:tcPr>
            <w:tcW w:type="dxa" w:w="2304"/>
            <w:shd w:fill="1F4E79"/>
          </w:tcPr>
          <w:p>
            <w:r>
              <w:rPr>
                <w:b/>
                <w:color w:val="FFFFFF"/>
              </w:rPr>
              <w:t>Qualité</w:t>
            </w:r>
          </w:p>
        </w:tc>
      </w:tr>
      <w:tr>
        <w:tc>
          <w:tcPr>
            <w:tcW w:type="dxa" w:w="2304"/>
          </w:tcPr>
          <w:p>
            <w:r>
              <w:t>Cadrage &amp; stratégie digitale</w:t>
            </w:r>
          </w:p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</w:tr>
      <w:tr>
        <w:tc>
          <w:tcPr>
            <w:tcW w:type="dxa" w:w="2304"/>
          </w:tcPr>
          <w:p>
            <w:r>
              <w:t>Architecture cible</w:t>
            </w:r>
          </w:p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</w:tr>
      <w:tr>
        <w:tc>
          <w:tcPr>
            <w:tcW w:type="dxa" w:w="2304"/>
          </w:tcPr>
          <w:p>
            <w:r>
              <w:t>Sélection ERP/outil</w:t>
            </w:r>
          </w:p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</w:tr>
      <w:tr>
        <w:tc>
          <w:tcPr>
            <w:tcW w:type="dxa" w:w="2304"/>
          </w:tcPr>
          <w:p>
            <w:r>
              <w:t>Déploiement IoT/MES</w:t>
            </w:r>
          </w:p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</w:tr>
      <w:tr>
        <w:tc>
          <w:tcPr>
            <w:tcW w:type="dxa" w:w="2304"/>
          </w:tcPr>
          <w:p>
            <w:r>
              <w:t>Portail e‑Service</w:t>
            </w:r>
          </w:p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</w:tr>
      <w:tr>
        <w:tc>
          <w:tcPr>
            <w:tcW w:type="dxa" w:w="2304"/>
          </w:tcPr>
          <w:p>
            <w:r>
              <w:t>Gouvernance data</w:t>
            </w:r>
          </w:p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  <w:tc>
          <w:tcPr>
            <w:tcW w:type="dxa" w:w="2304"/>
          </w:tcPr>
          <w:p/>
        </w:tc>
      </w:tr>
    </w:tbl>
    <w:p>
      <w:pPr>
        <w:spacing w:before="200" w:after="60"/>
      </w:pPr>
      <w:r>
        <w:rPr>
          <w:b/>
          <w:color w:val="1F4E79"/>
          <w:sz w:val="26"/>
        </w:rPr>
        <w:t>4. ROADMAP TRIMESTRIELLE</w:t>
      </w:r>
    </w:p>
    <w:p>
      <w:r>
        <w:rPr>
          <w:i/>
          <w:color w:val="555555"/>
          <w:sz w:val="18"/>
        </w:rPr>
        <w:t>Saisissez vos initiatives, priorités et statuts. Ce tableau est aligné avec l’Excel fourni.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2E75B6"/>
          </w:tcPr>
          <w:p>
            <w:r>
              <w:rPr>
                <w:b/>
                <w:color w:val="FFFFFF"/>
              </w:rPr>
              <w:t>ID</w:t>
            </w:r>
          </w:p>
        </w:tc>
        <w:tc>
          <w:tcPr>
            <w:tcW w:type="dxa" w:w="1728"/>
            <w:shd w:fill="2E75B6"/>
          </w:tcPr>
          <w:p>
            <w:r>
              <w:rPr>
                <w:b/>
                <w:color w:val="FFFFFF"/>
              </w:rPr>
              <w:t>Flux</w:t>
            </w:r>
          </w:p>
        </w:tc>
        <w:tc>
          <w:tcPr>
            <w:tcW w:type="dxa" w:w="1728"/>
            <w:shd w:fill="2E75B6"/>
          </w:tcPr>
          <w:p>
            <w:r>
              <w:rPr>
                <w:b/>
                <w:color w:val="FFFFFF"/>
              </w:rPr>
              <w:t>Initiative</w:t>
            </w:r>
          </w:p>
        </w:tc>
        <w:tc>
          <w:tcPr>
            <w:tcW w:type="dxa" w:w="1728"/>
            <w:shd w:fill="2E75B6"/>
          </w:tcPr>
          <w:p>
            <w:r>
              <w:rPr>
                <w:b/>
                <w:color w:val="FFFFFF"/>
              </w:rPr>
              <w:t>Propriétaire</w:t>
            </w:r>
          </w:p>
        </w:tc>
        <w:tc>
          <w:tcPr>
            <w:tcW w:type="dxa" w:w="1728"/>
            <w:shd w:fill="2E75B6"/>
          </w:tcPr>
          <w:p>
            <w:r>
              <w:rPr>
                <w:b/>
                <w:color w:val="FFFFFF"/>
              </w:rPr>
              <w:t>Quarter</w:t>
            </w:r>
          </w:p>
        </w:tc>
        <w:tc>
          <w:tcPr>
            <w:tcW w:type="dxa" w:w="1728"/>
            <w:shd w:fill="2E75B6"/>
          </w:tcPr>
          <w:p>
            <w:r>
              <w:rPr>
                <w:b/>
                <w:color w:val="FFFFFF"/>
              </w:rPr>
              <w:t>Statut</w:t>
            </w:r>
          </w:p>
        </w:tc>
        <w:tc>
          <w:tcPr>
            <w:tcW w:type="dxa" w:w="1728"/>
            <w:shd w:fill="2E75B6"/>
          </w:tcPr>
          <w:p>
            <w:r>
              <w:rPr>
                <w:b/>
                <w:color w:val="FFFFFF"/>
              </w:rPr>
              <w:t>% Avancement</w:t>
            </w:r>
          </w:p>
        </w:tc>
        <w:tc>
          <w:tcPr>
            <w:tcW w:type="dxa" w:w="1728"/>
            <w:shd w:fill="2E75B6"/>
          </w:tcPr>
          <w:p>
            <w:r>
              <w:rPr>
                <w:b/>
                <w:color w:val="FFFFFF"/>
              </w:rPr>
              <w:t>Budget (k€)</w:t>
            </w:r>
          </w:p>
        </w:tc>
      </w:tr>
      <w:tr>
        <w:tc>
          <w:tcPr>
            <w:tcW w:type="dxa" w:w="1728"/>
          </w:tcPr>
          <w:p>
            <w:r>
              <w:t>101</w:t>
            </w:r>
          </w:p>
        </w:tc>
        <w:tc>
          <w:tcPr>
            <w:tcW w:type="dxa" w:w="1728"/>
          </w:tcPr>
          <w:p>
            <w:r>
              <w:t>ERP &amp; Données</w:t>
            </w:r>
          </w:p>
        </w:tc>
        <w:tc>
          <w:tcPr>
            <w:tcW w:type="dxa" w:w="1728"/>
          </w:tcPr>
          <w:p>
            <w:r>
              <w:t>Nettoyage master data + MDM</w:t>
            </w:r>
          </w:p>
        </w:tc>
        <w:tc>
          <w:tcPr>
            <w:tcW w:type="dxa" w:w="1728"/>
          </w:tcPr>
          <w:p>
            <w:r>
              <w:t>Alice Dupont</w:t>
            </w:r>
          </w:p>
        </w:tc>
        <w:tc>
          <w:tcPr>
            <w:tcW w:type="dxa" w:w="1728"/>
          </w:tcPr>
          <w:p>
            <w:r>
              <w:t>Q4‑2025</w:t>
            </w:r>
          </w:p>
        </w:tc>
        <w:tc>
          <w:tcPr>
            <w:tcW w:type="dxa" w:w="1728"/>
          </w:tcPr>
          <w:p>
            <w:r>
              <w:t>En cours</w:t>
            </w:r>
          </w:p>
        </w:tc>
        <w:tc>
          <w:tcPr>
            <w:tcW w:type="dxa" w:w="1728"/>
          </w:tcPr>
          <w:p>
            <w:r>
              <w:t>45%</w:t>
            </w:r>
          </w:p>
        </w:tc>
        <w:tc>
          <w:tcPr>
            <w:tcW w:type="dxa" w:w="1728"/>
          </w:tcPr>
          <w:p>
            <w:r>
              <w:t>60</w:t>
            </w:r>
          </w:p>
        </w:tc>
      </w:tr>
      <w:tr>
        <w:tc>
          <w:tcPr>
            <w:tcW w:type="dxa" w:w="1728"/>
          </w:tcPr>
          <w:p>
            <w:r>
              <w:t>202</w:t>
            </w:r>
          </w:p>
        </w:tc>
        <w:tc>
          <w:tcPr>
            <w:tcW w:type="dxa" w:w="1728"/>
          </w:tcPr>
          <w:p>
            <w:r>
              <w:t>Industrie 4.0</w:t>
            </w:r>
          </w:p>
        </w:tc>
        <w:tc>
          <w:tcPr>
            <w:tcW w:type="dxa" w:w="1728"/>
          </w:tcPr>
          <w:p>
            <w:r>
              <w:t>MES léger — capture TRS</w:t>
            </w:r>
          </w:p>
        </w:tc>
        <w:tc>
          <w:tcPr>
            <w:tcW w:type="dxa" w:w="1728"/>
          </w:tcPr>
          <w:p>
            <w:r>
              <w:t>Yoann Lefèvre</w:t>
            </w:r>
          </w:p>
        </w:tc>
        <w:tc>
          <w:tcPr>
            <w:tcW w:type="dxa" w:w="1728"/>
          </w:tcPr>
          <w:p>
            <w:r>
              <w:t>Q1‑2026</w:t>
            </w:r>
          </w:p>
        </w:tc>
        <w:tc>
          <w:tcPr>
            <w:tcW w:type="dxa" w:w="1728"/>
          </w:tcPr>
          <w:p>
            <w:r>
              <w:t>En cours</w:t>
            </w:r>
          </w:p>
        </w:tc>
        <w:tc>
          <w:tcPr>
            <w:tcW w:type="dxa" w:w="1728"/>
          </w:tcPr>
          <w:p>
            <w:r>
              <w:t>25%</w:t>
            </w:r>
          </w:p>
        </w:tc>
        <w:tc>
          <w:tcPr>
            <w:tcW w:type="dxa" w:w="1728"/>
          </w:tcPr>
          <w:p>
            <w:r>
              <w:t>110</w:t>
            </w:r>
          </w:p>
        </w:tc>
      </w:tr>
      <w:tr>
        <w:tc>
          <w:tcPr>
            <w:tcW w:type="dxa" w:w="1728"/>
          </w:tcPr>
          <w:p>
            <w:r>
              <w:t>302</w:t>
            </w:r>
          </w:p>
        </w:tc>
        <w:tc>
          <w:tcPr>
            <w:tcW w:type="dxa" w:w="1728"/>
          </w:tcPr>
          <w:p>
            <w:r>
              <w:t>E‑commerce</w:t>
            </w:r>
          </w:p>
        </w:tc>
        <w:tc>
          <w:tcPr>
            <w:tcW w:type="dxa" w:w="1728"/>
          </w:tcPr>
          <w:p>
            <w:r>
              <w:t>Refonte checkout + paiement local</w:t>
            </w:r>
          </w:p>
        </w:tc>
        <w:tc>
          <w:tcPr>
            <w:tcW w:type="dxa" w:w="1728"/>
          </w:tcPr>
          <w:p>
            <w:r>
              <w:t>Karine Zola</w:t>
            </w:r>
          </w:p>
        </w:tc>
        <w:tc>
          <w:tcPr>
            <w:tcW w:type="dxa" w:w="1728"/>
          </w:tcPr>
          <w:p>
            <w:r>
              <w:t>Q4‑2025</w:t>
            </w:r>
          </w:p>
        </w:tc>
        <w:tc>
          <w:tcPr>
            <w:tcW w:type="dxa" w:w="1728"/>
          </w:tcPr>
          <w:p>
            <w:r>
              <w:t>En cours</w:t>
            </w:r>
          </w:p>
        </w:tc>
        <w:tc>
          <w:tcPr>
            <w:tcW w:type="dxa" w:w="1728"/>
          </w:tcPr>
          <w:p>
            <w:r>
              <w:t>55%</w:t>
            </w:r>
          </w:p>
        </w:tc>
        <w:tc>
          <w:tcPr>
            <w:tcW w:type="dxa" w:w="1728"/>
          </w:tcPr>
          <w:p>
            <w:r>
              <w:t>75</w:t>
            </w:r>
          </w:p>
        </w:tc>
      </w:tr>
    </w:tbl>
    <w:p>
      <w:pPr>
        <w:spacing w:before="200" w:after="60"/>
      </w:pPr>
      <w:r>
        <w:rPr>
          <w:b/>
          <w:color w:val="1F4E79"/>
          <w:sz w:val="26"/>
        </w:rPr>
        <w:t>5. KPIS (BASELINE → CIBLE → ACTUEL)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975"/>
        <w:gridCol w:w="1975"/>
        <w:gridCol w:w="1975"/>
        <w:gridCol w:w="1975"/>
        <w:gridCol w:w="1975"/>
        <w:gridCol w:w="1975"/>
        <w:gridCol w:w="1975"/>
      </w:tblGrid>
      <w:tr>
        <w:tc>
          <w:tcPr>
            <w:tcW w:type="dxa" w:w="1975"/>
            <w:shd w:fill="385723"/>
          </w:tcPr>
          <w:p>
            <w:r>
              <w:rPr>
                <w:b/>
                <w:color w:val="FFFFFF"/>
              </w:rPr>
              <w:t>KPI</w:t>
            </w:r>
          </w:p>
        </w:tc>
        <w:tc>
          <w:tcPr>
            <w:tcW w:type="dxa" w:w="1975"/>
            <w:shd w:fill="385723"/>
          </w:tcPr>
          <w:p>
            <w:r>
              <w:rPr>
                <w:b/>
                <w:color w:val="FFFFFF"/>
              </w:rPr>
              <w:t>Baseline</w:t>
            </w:r>
          </w:p>
        </w:tc>
        <w:tc>
          <w:tcPr>
            <w:tcW w:type="dxa" w:w="1975"/>
            <w:shd w:fill="385723"/>
          </w:tcPr>
          <w:p>
            <w:r>
              <w:rPr>
                <w:b/>
                <w:color w:val="FFFFFF"/>
              </w:rPr>
              <w:t>Cible</w:t>
            </w:r>
          </w:p>
        </w:tc>
        <w:tc>
          <w:tcPr>
            <w:tcW w:type="dxa" w:w="1975"/>
            <w:shd w:fill="385723"/>
          </w:tcPr>
          <w:p>
            <w:r>
              <w:rPr>
                <w:b/>
                <w:color w:val="FFFFFF"/>
              </w:rPr>
              <w:t>Actuel</w:t>
            </w:r>
          </w:p>
        </w:tc>
        <w:tc>
          <w:tcPr>
            <w:tcW w:type="dxa" w:w="1975"/>
            <w:shd w:fill="385723"/>
          </w:tcPr>
          <w:p>
            <w:r>
              <w:rPr>
                <w:b/>
                <w:color w:val="FFFFFF"/>
              </w:rPr>
              <w:t>Écart</w:t>
            </w:r>
          </w:p>
        </w:tc>
        <w:tc>
          <w:tcPr>
            <w:tcW w:type="dxa" w:w="1975"/>
            <w:shd w:fill="385723"/>
          </w:tcPr>
          <w:p>
            <w:r>
              <w:rPr>
                <w:b/>
                <w:color w:val="FFFFFF"/>
              </w:rPr>
              <w:t>Propriétaire</w:t>
            </w:r>
          </w:p>
        </w:tc>
        <w:tc>
          <w:tcPr>
            <w:tcW w:type="dxa" w:w="1975"/>
            <w:shd w:fill="385723"/>
          </w:tcPr>
          <w:p>
            <w:r>
              <w:rPr>
                <w:b/>
                <w:color w:val="FFFFFF"/>
              </w:rPr>
              <w:t>MAJ</w:t>
            </w:r>
          </w:p>
        </w:tc>
      </w:tr>
      <w:tr>
        <w:tc>
          <w:tcPr>
            <w:tcW w:type="dxa" w:w="1975"/>
          </w:tcPr>
          <w:p>
            <w:r>
              <w:t>OEE lignes A/B</w:t>
            </w:r>
          </w:p>
        </w:tc>
        <w:tc>
          <w:tcPr>
            <w:tcW w:type="dxa" w:w="1975"/>
          </w:tcPr>
          <w:p>
            <w:r>
              <w:t>62</w:t>
            </w:r>
          </w:p>
        </w:tc>
        <w:tc>
          <w:tcPr>
            <w:tcW w:type="dxa" w:w="1975"/>
          </w:tcPr>
          <w:p>
            <w:r>
              <w:t>70</w:t>
            </w:r>
          </w:p>
        </w:tc>
        <w:tc>
          <w:tcPr>
            <w:tcW w:type="dxa" w:w="1975"/>
          </w:tcPr>
          <w:p>
            <w:r>
              <w:t>64</w:t>
            </w:r>
          </w:p>
        </w:tc>
        <w:tc>
          <w:tcPr>
            <w:tcW w:type="dxa" w:w="1975"/>
          </w:tcPr>
          <w:p>
            <w:r>
              <w:t>+4</w:t>
            </w:r>
          </w:p>
        </w:tc>
        <w:tc>
          <w:tcPr>
            <w:tcW w:type="dxa" w:w="1975"/>
          </w:tcPr>
          <w:p>
            <w:r>
              <w:t>Sarah Emery</w:t>
            </w:r>
          </w:p>
        </w:tc>
        <w:tc>
          <w:tcPr>
            <w:tcW w:type="dxa" w:w="1975"/>
          </w:tcPr>
          <w:p>
            <w:r>
              <w:t>2025‑09‑10</w:t>
            </w:r>
          </w:p>
        </w:tc>
      </w:tr>
      <w:tr>
        <w:tc>
          <w:tcPr>
            <w:tcW w:type="dxa" w:w="1975"/>
          </w:tcPr>
          <w:p>
            <w:r>
              <w:t>Taux self‑care (%)</w:t>
            </w:r>
          </w:p>
        </w:tc>
        <w:tc>
          <w:tcPr>
            <w:tcW w:type="dxa" w:w="1975"/>
          </w:tcPr>
          <w:p>
            <w:r>
              <w:t>10</w:t>
            </w:r>
          </w:p>
        </w:tc>
        <w:tc>
          <w:tcPr>
            <w:tcW w:type="dxa" w:w="1975"/>
          </w:tcPr>
          <w:p>
            <w:r>
              <w:t>30</w:t>
            </w:r>
          </w:p>
        </w:tc>
        <w:tc>
          <w:tcPr>
            <w:tcW w:type="dxa" w:w="1975"/>
          </w:tcPr>
          <w:p>
            <w:r>
              <w:t>12</w:t>
            </w:r>
          </w:p>
        </w:tc>
        <w:tc>
          <w:tcPr>
            <w:tcW w:type="dxa" w:w="1975"/>
          </w:tcPr>
          <w:p>
            <w:r>
              <w:t>+2</w:t>
            </w:r>
          </w:p>
        </w:tc>
        <w:tc>
          <w:tcPr>
            <w:tcW w:type="dxa" w:w="1975"/>
          </w:tcPr>
          <w:p>
            <w:r>
              <w:t>Marc Morel</w:t>
            </w:r>
          </w:p>
        </w:tc>
        <w:tc>
          <w:tcPr>
            <w:tcW w:type="dxa" w:w="1975"/>
          </w:tcPr>
          <w:p>
            <w:r>
              <w:t>2025‑09‑05</w:t>
            </w:r>
          </w:p>
        </w:tc>
      </w:tr>
      <w:tr>
        <w:tc>
          <w:tcPr>
            <w:tcW w:type="dxa" w:w="1975"/>
          </w:tcPr>
          <w:p>
            <w:r>
              <w:t>Clôture comptable (jours)</w:t>
            </w:r>
          </w:p>
        </w:tc>
        <w:tc>
          <w:tcPr>
            <w:tcW w:type="dxa" w:w="1975"/>
          </w:tcPr>
          <w:p>
            <w:r>
              <w:t>6</w:t>
            </w:r>
          </w:p>
        </w:tc>
        <w:tc>
          <w:tcPr>
            <w:tcW w:type="dxa" w:w="1975"/>
          </w:tcPr>
          <w:p>
            <w:r>
              <w:t>3</w:t>
            </w:r>
          </w:p>
        </w:tc>
        <w:tc>
          <w:tcPr>
            <w:tcW w:type="dxa" w:w="1975"/>
          </w:tcPr>
          <w:p>
            <w:r>
              <w:t>4</w:t>
            </w:r>
          </w:p>
        </w:tc>
        <w:tc>
          <w:tcPr>
            <w:tcW w:type="dxa" w:w="1975"/>
          </w:tcPr>
          <w:p>
            <w:r>
              <w:t>‑1</w:t>
            </w:r>
          </w:p>
        </w:tc>
        <w:tc>
          <w:tcPr>
            <w:tcW w:type="dxa" w:w="1975"/>
          </w:tcPr>
          <w:p>
            <w:r>
              <w:t>Alice Dupont</w:t>
            </w:r>
          </w:p>
        </w:tc>
        <w:tc>
          <w:tcPr>
            <w:tcW w:type="dxa" w:w="1975"/>
          </w:tcPr>
          <w:p>
            <w:r>
              <w:t>2025‑08‑31</w:t>
            </w:r>
          </w:p>
        </w:tc>
      </w:tr>
    </w:tbl>
    <w:p>
      <w:pPr>
        <w:spacing w:before="200" w:after="60"/>
      </w:pPr>
      <w:r>
        <w:rPr>
          <w:b/>
          <w:color w:val="1F4E79"/>
          <w:sz w:val="26"/>
        </w:rPr>
        <w:t>6. REGISTRE DES RISQUES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843C0C"/>
          </w:tcPr>
          <w:p>
            <w:r>
              <w:rPr>
                <w:b/>
                <w:color w:val="FFFFFF"/>
              </w:rPr>
              <w:t>ID</w:t>
            </w:r>
          </w:p>
        </w:tc>
        <w:tc>
          <w:tcPr>
            <w:tcW w:type="dxa" w:w="1728"/>
            <w:shd w:fill="843C0C"/>
          </w:tcPr>
          <w:p>
            <w:r>
              <w:rPr>
                <w:b/>
                <w:color w:val="FFFFFF"/>
              </w:rPr>
              <w:t>Risque</w:t>
            </w:r>
          </w:p>
        </w:tc>
        <w:tc>
          <w:tcPr>
            <w:tcW w:type="dxa" w:w="1728"/>
            <w:shd w:fill="843C0C"/>
          </w:tcPr>
          <w:p>
            <w:r>
              <w:rPr>
                <w:b/>
                <w:color w:val="FFFFFF"/>
              </w:rPr>
              <w:t>Cause</w:t>
            </w:r>
          </w:p>
        </w:tc>
        <w:tc>
          <w:tcPr>
            <w:tcW w:type="dxa" w:w="1728"/>
            <w:shd w:fill="843C0C"/>
          </w:tcPr>
          <w:p>
            <w:r>
              <w:rPr>
                <w:b/>
                <w:color w:val="FFFFFF"/>
              </w:rPr>
              <w:t>Impact (1‑5)</w:t>
            </w:r>
          </w:p>
        </w:tc>
        <w:tc>
          <w:tcPr>
            <w:tcW w:type="dxa" w:w="1728"/>
            <w:shd w:fill="843C0C"/>
          </w:tcPr>
          <w:p>
            <w:r>
              <w:rPr>
                <w:b/>
                <w:color w:val="FFFFFF"/>
              </w:rPr>
              <w:t>Prob. (1‑5)</w:t>
            </w:r>
          </w:p>
        </w:tc>
        <w:tc>
          <w:tcPr>
            <w:tcW w:type="dxa" w:w="1728"/>
            <w:shd w:fill="843C0C"/>
          </w:tcPr>
          <w:p>
            <w:r>
              <w:rPr>
                <w:b/>
                <w:color w:val="FFFFFF"/>
              </w:rPr>
              <w:t>Score</w:t>
            </w:r>
          </w:p>
        </w:tc>
        <w:tc>
          <w:tcPr>
            <w:tcW w:type="dxa" w:w="1728"/>
            <w:shd w:fill="843C0C"/>
          </w:tcPr>
          <w:p>
            <w:r>
              <w:rPr>
                <w:b/>
                <w:color w:val="FFFFFF"/>
              </w:rPr>
              <w:t>Réponse</w:t>
            </w:r>
          </w:p>
        </w:tc>
        <w:tc>
          <w:tcPr>
            <w:tcW w:type="dxa" w:w="1728"/>
            <w:shd w:fill="843C0C"/>
          </w:tcPr>
          <w:p>
            <w:r>
              <w:rPr>
                <w:b/>
                <w:color w:val="FFFFFF"/>
              </w:rPr>
              <w:t>Propriétaire</w:t>
            </w:r>
          </w:p>
        </w:tc>
      </w:tr>
      <w:tr>
        <w:tc>
          <w:tcPr>
            <w:tcW w:type="dxa" w:w="1728"/>
          </w:tcPr>
          <w:p>
            <w:r>
              <w:t>R‑01</w:t>
            </w:r>
          </w:p>
        </w:tc>
        <w:tc>
          <w:tcPr>
            <w:tcW w:type="dxa" w:w="1728"/>
          </w:tcPr>
          <w:p>
            <w:r>
              <w:t>Dérive planning</w:t>
            </w:r>
          </w:p>
        </w:tc>
        <w:tc>
          <w:tcPr>
            <w:tcW w:type="dxa" w:w="1728"/>
          </w:tcPr>
          <w:p>
            <w:r>
              <w:t>Dépendances multiples</w:t>
            </w:r>
          </w:p>
        </w:tc>
        <w:tc>
          <w:tcPr>
            <w:tcW w:type="dxa" w:w="1728"/>
          </w:tcPr>
          <w:p>
            <w:r>
              <w:t>4</w:t>
            </w:r>
          </w:p>
        </w:tc>
        <w:tc>
          <w:tcPr>
            <w:tcW w:type="dxa" w:w="1728"/>
          </w:tcPr>
          <w:p>
            <w:r>
              <w:t>3</w:t>
            </w:r>
          </w:p>
        </w:tc>
        <w:tc>
          <w:tcPr>
            <w:tcW w:type="dxa" w:w="1728"/>
          </w:tcPr>
          <w:p>
            <w:r>
              <w:t>12</w:t>
            </w:r>
          </w:p>
        </w:tc>
        <w:tc>
          <w:tcPr>
            <w:tcW w:type="dxa" w:w="1728"/>
          </w:tcPr>
          <w:p>
            <w:r>
              <w:t>Mitiger</w:t>
            </w:r>
          </w:p>
        </w:tc>
        <w:tc>
          <w:tcPr>
            <w:tcW w:type="dxa" w:w="1728"/>
          </w:tcPr>
          <w:p>
            <w:r>
              <w:t>Alice Dupont</w:t>
            </w:r>
          </w:p>
        </w:tc>
      </w:tr>
      <w:tr>
        <w:tc>
          <w:tcPr>
            <w:tcW w:type="dxa" w:w="1728"/>
          </w:tcPr>
          <w:p>
            <w:r>
              <w:t>R‑02</w:t>
            </w:r>
          </w:p>
        </w:tc>
        <w:tc>
          <w:tcPr>
            <w:tcW w:type="dxa" w:w="1728"/>
          </w:tcPr>
          <w:p>
            <w:r>
              <w:t>Adoption utilisateur</w:t>
            </w:r>
          </w:p>
        </w:tc>
        <w:tc>
          <w:tcPr>
            <w:tcW w:type="dxa" w:w="1728"/>
          </w:tcPr>
          <w:p>
            <w:r>
              <w:t>Manque formation</w:t>
            </w:r>
          </w:p>
        </w:tc>
        <w:tc>
          <w:tcPr>
            <w:tcW w:type="dxa" w:w="1728"/>
          </w:tcPr>
          <w:p>
            <w:r>
              <w:t>3</w:t>
            </w:r>
          </w:p>
        </w:tc>
        <w:tc>
          <w:tcPr>
            <w:tcW w:type="dxa" w:w="1728"/>
          </w:tcPr>
          <w:p>
            <w:r>
              <w:t>4</w:t>
            </w:r>
          </w:p>
        </w:tc>
        <w:tc>
          <w:tcPr>
            <w:tcW w:type="dxa" w:w="1728"/>
          </w:tcPr>
          <w:p>
            <w:r>
              <w:t>12</w:t>
            </w:r>
          </w:p>
        </w:tc>
        <w:tc>
          <w:tcPr>
            <w:tcW w:type="dxa" w:w="1728"/>
          </w:tcPr>
          <w:p>
            <w:r>
              <w:t>Former</w:t>
            </w:r>
          </w:p>
        </w:tc>
        <w:tc>
          <w:tcPr>
            <w:tcW w:type="dxa" w:w="1728"/>
          </w:tcPr>
          <w:p>
            <w:r>
              <w:t>Sarah Emery</w:t>
            </w:r>
          </w:p>
        </w:tc>
      </w:tr>
    </w:tbl>
    <w:p>
      <w:pPr>
        <w:spacing w:before="200" w:after="60"/>
      </w:pPr>
      <w:r>
        <w:rPr>
          <w:b/>
          <w:color w:val="1F4E79"/>
          <w:sz w:val="26"/>
        </w:rPr>
        <w:t>7. RÉTROPLANNING (DEPUIS GO‑LIVE)</w:t>
      </w:r>
    </w:p>
    <w:p>
      <w:r>
        <w:rPr>
          <w:i/>
          <w:color w:val="555555"/>
          <w:sz w:val="18"/>
        </w:rPr>
        <w:t>Conseil : fixez votre T0 (Go‑Live) puis planifiez à rebours les phases clés.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304"/>
        <w:gridCol w:w="2304"/>
        <w:gridCol w:w="2304"/>
        <w:gridCol w:w="2304"/>
        <w:gridCol w:w="2304"/>
        <w:gridCol w:w="2304"/>
      </w:tblGrid>
      <w:tr>
        <w:tc>
          <w:tcPr>
            <w:tcW w:type="dxa" w:w="2304"/>
            <w:shd w:fill="2E75B6"/>
          </w:tcPr>
          <w:p>
            <w:r>
              <w:rPr>
                <w:b/>
                <w:color w:val="FFFFFF"/>
              </w:rPr>
              <w:t>Phase</w:t>
            </w:r>
          </w:p>
        </w:tc>
        <w:tc>
          <w:tcPr>
            <w:tcW w:type="dxa" w:w="2304"/>
            <w:shd w:fill="2E75B6"/>
          </w:tcPr>
          <w:p>
            <w:r>
              <w:rPr>
                <w:b/>
                <w:color w:val="FFFFFF"/>
              </w:rPr>
              <w:t>Durée (j)</w:t>
            </w:r>
          </w:p>
        </w:tc>
        <w:tc>
          <w:tcPr>
            <w:tcW w:type="dxa" w:w="2304"/>
            <w:shd w:fill="2E75B6"/>
          </w:tcPr>
          <w:p>
            <w:r>
              <w:rPr>
                <w:b/>
                <w:color w:val="FFFFFF"/>
              </w:rPr>
              <w:t>Dépend de</w:t>
            </w:r>
          </w:p>
        </w:tc>
        <w:tc>
          <w:tcPr>
            <w:tcW w:type="dxa" w:w="2304"/>
            <w:shd w:fill="2E75B6"/>
          </w:tcPr>
          <w:p>
            <w:r>
              <w:rPr>
                <w:b/>
                <w:color w:val="FFFFFF"/>
              </w:rPr>
              <w:t>Début (calculé)</w:t>
            </w:r>
          </w:p>
        </w:tc>
        <w:tc>
          <w:tcPr>
            <w:tcW w:type="dxa" w:w="2304"/>
            <w:shd w:fill="2E75B6"/>
          </w:tcPr>
          <w:p>
            <w:r>
              <w:rPr>
                <w:b/>
                <w:color w:val="FFFFFF"/>
              </w:rPr>
              <w:t>Fin (calculée)</w:t>
            </w:r>
          </w:p>
        </w:tc>
        <w:tc>
          <w:tcPr>
            <w:tcW w:type="dxa" w:w="2304"/>
            <w:shd w:fill="2E75B6"/>
          </w:tcPr>
          <w:p>
            <w:r>
              <w:rPr>
                <w:b/>
                <w:color w:val="FFFFFF"/>
              </w:rPr>
              <w:t>Responsable</w:t>
            </w:r>
          </w:p>
        </w:tc>
      </w:tr>
      <w:tr>
        <w:tc>
          <w:tcPr>
            <w:tcW w:type="dxa" w:w="2304"/>
          </w:tcPr>
          <w:p>
            <w:r>
              <w:t>Go‑Live (T0)</w:t>
            </w:r>
          </w:p>
        </w:tc>
        <w:tc>
          <w:tcPr>
            <w:tcW w:type="dxa" w:w="2304"/>
          </w:tcPr>
          <w:p>
            <w:r>
              <w:t>1</w:t>
            </w:r>
          </w:p>
        </w:tc>
        <w:tc>
          <w:tcPr>
            <w:tcW w:type="dxa" w:w="2304"/>
          </w:tcPr>
          <w:p>
            <w:r>
              <w:t>Pilote</w:t>
            </w:r>
          </w:p>
        </w:tc>
        <w:tc>
          <w:tcPr>
            <w:tcW w:type="dxa" w:w="2304"/>
          </w:tcPr>
          <w:p>
            <w:r>
              <w:t>______</w:t>
            </w:r>
          </w:p>
        </w:tc>
        <w:tc>
          <w:tcPr>
            <w:tcW w:type="dxa" w:w="2304"/>
          </w:tcPr>
          <w:p>
            <w:r>
              <w:t>2026‑07‑31</w:t>
            </w:r>
          </w:p>
        </w:tc>
        <w:tc>
          <w:tcPr>
            <w:tcW w:type="dxa" w:w="2304"/>
          </w:tcPr>
          <w:p>
            <w:r>
              <w:t>Alice Dupont</w:t>
            </w:r>
          </w:p>
        </w:tc>
      </w:tr>
      <w:tr>
        <w:tc>
          <w:tcPr>
            <w:tcW w:type="dxa" w:w="2304"/>
          </w:tcPr>
          <w:p>
            <w:r>
              <w:t>Déploiement pilote</w:t>
            </w:r>
          </w:p>
        </w:tc>
        <w:tc>
          <w:tcPr>
            <w:tcW w:type="dxa" w:w="2304"/>
          </w:tcPr>
          <w:p>
            <w:r>
              <w:t>10</w:t>
            </w:r>
          </w:p>
        </w:tc>
        <w:tc>
          <w:tcPr>
            <w:tcW w:type="dxa" w:w="2304"/>
          </w:tcPr>
          <w:p>
            <w:r>
              <w:t>Formation</w:t>
            </w:r>
          </w:p>
        </w:tc>
        <w:tc>
          <w:tcPr>
            <w:tcW w:type="dxa" w:w="2304"/>
          </w:tcPr>
          <w:p>
            <w:r>
              <w:t>2026‑07‑20</w:t>
            </w:r>
          </w:p>
        </w:tc>
        <w:tc>
          <w:tcPr>
            <w:tcW w:type="dxa" w:w="2304"/>
          </w:tcPr>
          <w:p>
            <w:r>
              <w:t>2026‑07‑30</w:t>
            </w:r>
          </w:p>
        </w:tc>
        <w:tc>
          <w:tcPr>
            <w:tcW w:type="dxa" w:w="2304"/>
          </w:tcPr>
          <w:p>
            <w:r>
              <w:t>Damien Caron</w:t>
            </w:r>
          </w:p>
        </w:tc>
      </w:tr>
      <w:tr>
        <w:tc>
          <w:tcPr>
            <w:tcW w:type="dxa" w:w="2304"/>
          </w:tcPr>
          <w:p>
            <w:r>
              <w:t>Formation &amp; com'</w:t>
            </w:r>
          </w:p>
        </w:tc>
        <w:tc>
          <w:tcPr>
            <w:tcW w:type="dxa" w:w="2304"/>
          </w:tcPr>
          <w:p>
            <w:r>
              <w:t>10</w:t>
            </w:r>
          </w:p>
        </w:tc>
        <w:tc>
          <w:tcPr>
            <w:tcW w:type="dxa" w:w="2304"/>
          </w:tcPr>
          <w:p>
            <w:r>
              <w:t>UAT</w:t>
            </w:r>
          </w:p>
        </w:tc>
        <w:tc>
          <w:tcPr>
            <w:tcW w:type="dxa" w:w="2304"/>
          </w:tcPr>
          <w:p>
            <w:r>
              <w:t>2026‑07‑07</w:t>
            </w:r>
          </w:p>
        </w:tc>
        <w:tc>
          <w:tcPr>
            <w:tcW w:type="dxa" w:w="2304"/>
          </w:tcPr>
          <w:p>
            <w:r>
              <w:t>2026‑07‑19</w:t>
            </w:r>
          </w:p>
        </w:tc>
        <w:tc>
          <w:tcPr>
            <w:tcW w:type="dxa" w:w="2304"/>
          </w:tcPr>
          <w:p>
            <w:r>
              <w:t>Sarah Emery</w:t>
            </w:r>
          </w:p>
        </w:tc>
      </w:tr>
      <w:tr>
        <w:tc>
          <w:tcPr>
            <w:tcW w:type="dxa" w:w="2304"/>
          </w:tcPr>
          <w:p>
            <w:r>
              <w:t>Tests &amp; UAT</w:t>
            </w:r>
          </w:p>
        </w:tc>
        <w:tc>
          <w:tcPr>
            <w:tcW w:type="dxa" w:w="2304"/>
          </w:tcPr>
          <w:p>
            <w:r>
              <w:t>20</w:t>
            </w:r>
          </w:p>
        </w:tc>
        <w:tc>
          <w:tcPr>
            <w:tcW w:type="dxa" w:w="2304"/>
          </w:tcPr>
          <w:p>
            <w:r>
              <w:t>Dev &amp; intégrations</w:t>
            </w:r>
          </w:p>
        </w:tc>
        <w:tc>
          <w:tcPr>
            <w:tcW w:type="dxa" w:w="2304"/>
          </w:tcPr>
          <w:p>
            <w:r>
              <w:t>2026‑06‑17</w:t>
            </w:r>
          </w:p>
        </w:tc>
        <w:tc>
          <w:tcPr>
            <w:tcW w:type="dxa" w:w="2304"/>
          </w:tcPr>
          <w:p>
            <w:r>
              <w:t>2026‑07‑06</w:t>
            </w:r>
          </w:p>
        </w:tc>
        <w:tc>
          <w:tcPr>
            <w:tcW w:type="dxa" w:w="2304"/>
          </w:tcPr>
          <w:p>
            <w:r>
              <w:t>Karine Zola</w:t>
            </w:r>
          </w:p>
        </w:tc>
      </w:tr>
      <w:tr>
        <w:tc>
          <w:tcPr>
            <w:tcW w:type="dxa" w:w="2304"/>
          </w:tcPr>
          <w:p>
            <w:r>
              <w:t>Dev &amp; intégrations</w:t>
            </w:r>
          </w:p>
        </w:tc>
        <w:tc>
          <w:tcPr>
            <w:tcW w:type="dxa" w:w="2304"/>
          </w:tcPr>
          <w:p>
            <w:r>
              <w:t>45</w:t>
            </w:r>
          </w:p>
        </w:tc>
        <w:tc>
          <w:tcPr>
            <w:tcW w:type="dxa" w:w="2304"/>
          </w:tcPr>
          <w:p>
            <w:r>
              <w:t>Conception technique</w:t>
            </w:r>
          </w:p>
        </w:tc>
        <w:tc>
          <w:tcPr>
            <w:tcW w:type="dxa" w:w="2304"/>
          </w:tcPr>
          <w:p>
            <w:r>
              <w:t>2026‑05‑03</w:t>
            </w:r>
          </w:p>
        </w:tc>
        <w:tc>
          <w:tcPr>
            <w:tcW w:type="dxa" w:w="2304"/>
          </w:tcPr>
          <w:p>
            <w:r>
              <w:t>2026‑06‑16</w:t>
            </w:r>
          </w:p>
        </w:tc>
        <w:tc>
          <w:tcPr>
            <w:tcW w:type="dxa" w:w="2304"/>
          </w:tcPr>
          <w:p>
            <w:r>
              <w:t>Yoann Lefèvre</w:t>
            </w:r>
          </w:p>
        </w:tc>
      </w:tr>
      <w:tr>
        <w:tc>
          <w:tcPr>
            <w:tcW w:type="dxa" w:w="2304"/>
          </w:tcPr>
          <w:p>
            <w:r>
              <w:t>Conception technique</w:t>
            </w:r>
          </w:p>
        </w:tc>
        <w:tc>
          <w:tcPr>
            <w:tcW w:type="dxa" w:w="2304"/>
          </w:tcPr>
          <w:p>
            <w:r>
              <w:t>20</w:t>
            </w:r>
          </w:p>
        </w:tc>
        <w:tc>
          <w:tcPr>
            <w:tcW w:type="dxa" w:w="2304"/>
          </w:tcPr>
          <w:p>
            <w:r>
              <w:t>Conception fonctionnelle</w:t>
            </w:r>
          </w:p>
        </w:tc>
        <w:tc>
          <w:tcPr>
            <w:tcW w:type="dxa" w:w="2304"/>
          </w:tcPr>
          <w:p>
            <w:r>
              <w:t>2026‑04‑12</w:t>
            </w:r>
          </w:p>
        </w:tc>
        <w:tc>
          <w:tcPr>
            <w:tcW w:type="dxa" w:w="2304"/>
          </w:tcPr>
          <w:p>
            <w:r>
              <w:t>2026‑05‑02</w:t>
            </w:r>
          </w:p>
        </w:tc>
        <w:tc>
          <w:tcPr>
            <w:tcW w:type="dxa" w:w="2304"/>
          </w:tcPr>
          <w:p>
            <w:r>
              <w:t>Romain Hardy</w:t>
            </w:r>
          </w:p>
        </w:tc>
      </w:tr>
      <w:tr>
        <w:tc>
          <w:tcPr>
            <w:tcW w:type="dxa" w:w="2304"/>
          </w:tcPr>
          <w:p>
            <w:r>
              <w:t>Conception fonctionnelle</w:t>
            </w:r>
          </w:p>
        </w:tc>
        <w:tc>
          <w:tcPr>
            <w:tcW w:type="dxa" w:w="2304"/>
          </w:tcPr>
          <w:p>
            <w:r>
              <w:t>25</w:t>
            </w:r>
          </w:p>
        </w:tc>
        <w:tc>
          <w:tcPr>
            <w:tcW w:type="dxa" w:w="2304"/>
          </w:tcPr>
          <w:p>
            <w:r>
              <w:t>Cadrage</w:t>
            </w:r>
          </w:p>
        </w:tc>
        <w:tc>
          <w:tcPr>
            <w:tcW w:type="dxa" w:w="2304"/>
          </w:tcPr>
          <w:p>
            <w:r>
              <w:t>2026‑03‑17</w:t>
            </w:r>
          </w:p>
        </w:tc>
        <w:tc>
          <w:tcPr>
            <w:tcW w:type="dxa" w:w="2304"/>
          </w:tcPr>
          <w:p>
            <w:r>
              <w:t>2026‑04‑11</w:t>
            </w:r>
          </w:p>
        </w:tc>
        <w:tc>
          <w:tcPr>
            <w:tcW w:type="dxa" w:w="2304"/>
          </w:tcPr>
          <w:p>
            <w:r>
              <w:t>Théo Isnard</w:t>
            </w:r>
          </w:p>
        </w:tc>
      </w:tr>
      <w:tr>
        <w:tc>
          <w:tcPr>
            <w:tcW w:type="dxa" w:w="2304"/>
          </w:tcPr>
          <w:p>
            <w:r>
              <w:t>Cadrage &amp; business case</w:t>
            </w:r>
          </w:p>
        </w:tc>
        <w:tc>
          <w:tcPr>
            <w:tcW w:type="dxa" w:w="2304"/>
          </w:tcPr>
          <w:p>
            <w:r>
              <w:t>20</w:t>
            </w:r>
          </w:p>
        </w:tc>
        <w:tc>
          <w:tcPr>
            <w:tcW w:type="dxa" w:w="2304"/>
          </w:tcPr>
          <w:p>
            <w:r>
              <w:t>—</w:t>
            </w:r>
          </w:p>
        </w:tc>
        <w:tc>
          <w:tcPr>
            <w:tcW w:type="dxa" w:w="2304"/>
          </w:tcPr>
          <w:p>
            <w:r>
              <w:t>2026‑02‑25</w:t>
            </w:r>
          </w:p>
        </w:tc>
        <w:tc>
          <w:tcPr>
            <w:tcW w:type="dxa" w:w="2304"/>
          </w:tcPr>
          <w:p>
            <w:r>
              <w:t>2026‑03‑16</w:t>
            </w:r>
          </w:p>
        </w:tc>
        <w:tc>
          <w:tcPr>
            <w:tcW w:type="dxa" w:w="2304"/>
          </w:tcPr>
          <w:p>
            <w:r>
              <w:t>Marc Morel</w:t>
            </w:r>
          </w:p>
        </w:tc>
      </w:tr>
    </w:tbl>
    <w:p>
      <w:pPr>
        <w:spacing w:before="200" w:after="60"/>
      </w:pPr>
      <w:r>
        <w:rPr>
          <w:b/>
          <w:color w:val="1F4E79"/>
          <w:sz w:val="26"/>
        </w:rPr>
        <w:t>8. CHECKLISTS</w:t>
      </w:r>
    </w:p>
    <w:p>
      <w:r>
        <w:rPr>
          <w:i/>
          <w:color w:val="555555"/>
          <w:sz w:val="18"/>
        </w:rPr>
        <w:t>Utilisez ces listes pour sécuriser le lancement.</w:t>
      </w:r>
    </w:p>
    <w:p>
      <w:r>
        <w:rPr>
          <w:b/>
          <w:color w:val="1F4E79"/>
        </w:rPr>
        <w:t xml:space="preserve">Données &amp; ERP : </w:t>
      </w:r>
    </w:p>
    <w:p>
      <w:r>
        <w:t>☐ Règles de qualité de données validées</w:t>
      </w:r>
    </w:p>
    <w:p>
      <w:r>
        <w:t>☐ Master data nettoyée et gelée avant migration</w:t>
      </w:r>
    </w:p>
    <w:p>
      <w:r>
        <w:t>☐ Procédures de reprise d’activité (PRA) testées</w:t>
      </w:r>
    </w:p>
    <w:p>
      <w:r>
        <w:rPr>
          <w:b/>
          <w:color w:val="1F4E79"/>
        </w:rPr>
        <w:t xml:space="preserve">Sécurité &amp; IT : </w:t>
      </w:r>
    </w:p>
    <w:p>
      <w:r>
        <w:t>☐ MFA/PAM déployés</w:t>
      </w:r>
    </w:p>
    <w:p>
      <w:r>
        <w:t>☐ Sauvegardes vérifiées (restores)</w:t>
      </w:r>
    </w:p>
    <w:p>
      <w:r>
        <w:t>☐ Patch management à jour</w:t>
      </w:r>
    </w:p>
    <w:p>
      <w:r>
        <w:rPr>
          <w:b/>
          <w:color w:val="1F4E79"/>
        </w:rPr>
        <w:t xml:space="preserve">Change &amp; Formation : </w:t>
      </w:r>
    </w:p>
    <w:p>
      <w:r>
        <w:t>☐ Parcours de formation délivrés</w:t>
      </w:r>
    </w:p>
    <w:p>
      <w:r>
        <w:t>☐ Kit communication interne diffusé</w:t>
      </w:r>
    </w:p>
    <w:p>
      <w:r>
        <w:t>☐ Support de proximité organisé (J/J+7)</w:t>
      </w:r>
    </w:p>
    <w:p/>
    <w:p>
      <w:r>
        <w:rPr>
          <w:b/>
          <w:color w:val="1F4E79"/>
        </w:rPr>
        <w:t xml:space="preserve">Note d’utilisation : </w:t>
      </w:r>
      <w:r>
        <w:t>ce modèle est conçu pour accompagner la roadmap Excel fournie. Mettez à jour les sections, imprimez en A4, et joignez-le à vos comités projet.</w:t>
      </w:r>
    </w:p>
    <w:sectPr w:rsidR="00FC693F" w:rsidRPr="0006063C" w:rsidSect="00034616">
      <w:headerReference w:type="default" r:id="rId9"/>
      <w:footerReference w:type="default" r:id="rId10"/>
      <w:pgSz w:w="15840" w:h="12240"/>
      <w:pgMar w:top="1008" w:right="864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F7F7F"/>
        <w:sz w:val="18"/>
      </w:rPr>
      <w:t>lecoursgratuit.com — Gabarit Word prêt à imprimer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color w:val="1F4E79"/>
        <w:sz w:val="18"/>
      </w:rPr>
      <w:t>Modèle — Feuille de route de digitalisation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