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reOff"/>
        <w:jc w:val="center"/>
      </w:pPr>
      <w:r>
        <w:t>DOCUMENT UNIQUE D'ÉVALUATION DES RISQUES PROFESSIONNELS — DUERP</w:t>
      </w:r>
    </w:p>
    <w:p>
      <w:pPr>
        <w:pStyle w:val="SousTitreOff"/>
        <w:jc w:val="center"/>
      </w:pPr>
      <w:r>
        <w:t>Modèle sobre — Numérotation officielle — Tableaux lisibles N&amp;B</w:t>
      </w:r>
    </w:p>
    <w:p>
      <w:pPr>
        <w:pStyle w:val="BodyOff"/>
      </w:pPr>
      <w:r>
        <w:rPr>
          <w:i/>
        </w:rPr>
        <w:t>Avertissement : ce modèle doit être complété, adapté et validé conformément aux procédures internes. Il n’a de portée qu’accompagné des données réelles, des avis des représentants du personnel et des validations d’usage.</w:t>
      </w:r>
    </w:p>
    <w:p>
      <w:pPr>
        <w:pStyle w:val="H2Off"/>
      </w:pPr>
      <w:r>
        <w:t>TABLE DES MATIÈRES (mettre à jour dans Word après remplissage)</w:t>
      </w:r>
    </w:p>
    <w:p>
      <w:pPr>
        <w:pStyle w:val="H1Off"/>
      </w:pPr>
      <w:r>
        <w:t>1. Informations générales sur l’entreprise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1871"/>
        <w:gridCol w:w="1871"/>
        <w:gridCol w:w="1871"/>
        <w:gridCol w:w="1871"/>
        <w:gridCol w:w="1871"/>
      </w:tblGrid>
      <w:tr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Raison sociale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SIRET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Adresse (siège/site)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Effectif (CDI/CDD/Intérim)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Activité (NAF)</w:t>
            </w:r>
          </w:p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1871"/>
        <w:gridCol w:w="1871"/>
        <w:gridCol w:w="1871"/>
        <w:gridCol w:w="1871"/>
        <w:gridCol w:w="1871"/>
      </w:tblGrid>
      <w:tr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Référent DUERP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Service prévention / CSST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SPST (coordonnées)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Instances (CSE/CSSCT)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Périmètre DUERP</w:t>
            </w:r>
          </w:p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</w:tbl>
    <w:p>
      <w:pPr>
        <w:pStyle w:val="H1Off"/>
      </w:pPr>
      <w:r>
        <w:t>2. Méthodologie d’évaluation</w:t>
      </w:r>
    </w:p>
    <w:p>
      <w:pPr>
        <w:pStyle w:val="BodyOff"/>
      </w:pPr>
      <w:r>
        <w:t>Identification des dangers par unité de travail ; analyse des expositions ; cotation Gravité (S) et Probabilité (P) ; calcul du niveau de risque R=S×P ; hiérarchisation ; plan d’action selon la hiérarchie des mesures de prévention (élimination/substitution, ingénierie, organisation, information-formation, EPI résiduel).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3118"/>
        <w:gridCol w:w="3118"/>
        <w:gridCol w:w="3118"/>
      </w:tblGrid>
      <w:tr>
        <w:tc>
          <w:tcPr>
            <w:tcW w:type="dxa" w:w="3118"/>
            <w:shd w:val="clear" w:color="auto" w:fill="EDEDED"/>
          </w:tcPr>
          <w:p>
            <w:r>
              <w:rPr>
                <w:rStyle w:val="THOff"/>
              </w:rPr>
              <w:t>Gravité (S)</w:t>
            </w:r>
          </w:p>
        </w:tc>
        <w:tc>
          <w:tcPr>
            <w:tcW w:type="dxa" w:w="3118"/>
            <w:shd w:val="clear" w:color="auto" w:fill="EDEDED"/>
          </w:tcPr>
          <w:p>
            <w:r>
              <w:rPr>
                <w:rStyle w:val="THOff"/>
              </w:rPr>
              <w:t>Probabilité (P)</w:t>
            </w:r>
          </w:p>
        </w:tc>
        <w:tc>
          <w:tcPr>
            <w:tcW w:type="dxa" w:w="3118"/>
            <w:shd w:val="clear" w:color="auto" w:fill="EDEDED"/>
          </w:tcPr>
          <w:p>
            <w:r>
              <w:rPr>
                <w:rStyle w:val="THOff"/>
              </w:rPr>
              <w:t>Seuils de priorité (exemple)</w:t>
            </w:r>
          </w:p>
        </w:tc>
      </w:tr>
      <w:tr>
        <w:tc>
          <w:tcPr>
            <w:tcW w:type="dxa" w:w="3118"/>
          </w:tcPr>
          <w:p>
            <w:r>
              <w:t>1—bénin  |  3—arrêt de travail  |  5—décès/invalidité majeure</w:t>
            </w:r>
          </w:p>
        </w:tc>
        <w:tc>
          <w:tcPr>
            <w:tcW w:type="dxa" w:w="3118"/>
          </w:tcPr>
          <w:p>
            <w:r>
              <w:t>1—très rare  |  3—possible  |  5—fréquent</w:t>
            </w:r>
          </w:p>
        </w:tc>
        <w:tc>
          <w:tcPr>
            <w:tcW w:type="dxa" w:w="3118"/>
          </w:tcPr>
          <w:p>
            <w:r>
              <w:t>R ≥ 16 : Élevé  •  9–15 : Moyen  •  ≤ 8 : Faible</w:t>
            </w:r>
          </w:p>
        </w:tc>
      </w:tr>
    </w:tbl>
    <w:p>
      <w:pPr>
        <w:pStyle w:val="H1Off"/>
      </w:pPr>
      <w:r>
        <w:t>3. Unités de travail et populations exposées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1871"/>
        <w:gridCol w:w="1871"/>
        <w:gridCol w:w="1871"/>
        <w:gridCol w:w="1871"/>
        <w:gridCol w:w="1871"/>
      </w:tblGrid>
      <w:tr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Unité / Zone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Postes / Tâches clés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Effectif exposé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Publics spécifiques (jeunes, grossesse, nuit, handicap)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Co-activité / Extérieurs</w:t>
            </w:r>
          </w:p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</w:tbl>
    <w:p>
      <w:pPr>
        <w:pStyle w:val="H1Off"/>
      </w:pPr>
      <w:r>
        <w:t>4. Inventaire des dangers par unité de travail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1871"/>
        <w:gridCol w:w="1871"/>
        <w:gridCol w:w="1871"/>
        <w:gridCol w:w="1871"/>
        <w:gridCol w:w="1871"/>
      </w:tblGrid>
      <w:tr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ID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Unité / Étape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Danger identifié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Situation d’exposition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Conséquence plausible</w:t>
            </w:r>
          </w:p>
        </w:tc>
      </w:tr>
      <w:tr>
        <w:tc>
          <w:tcPr>
            <w:tcW w:type="dxa" w:w="1871"/>
          </w:tcPr>
          <w:p>
            <w:r>
              <w:t>01</w:t>
            </w:r>
          </w:p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>
            <w:r>
              <w:t>02</w:t>
            </w:r>
          </w:p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>
            <w:r>
              <w:t>03</w:t>
            </w:r>
          </w:p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>
            <w:r>
              <w:t>04</w:t>
            </w:r>
          </w:p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>
            <w:r>
              <w:t>05</w:t>
            </w:r>
          </w:p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>
            <w:r>
              <w:t>06</w:t>
            </w:r>
          </w:p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>
            <w:r>
              <w:t>07</w:t>
            </w:r>
          </w:p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>
            <w:r>
              <w:t>08</w:t>
            </w:r>
          </w:p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</w:tbl>
    <w:p>
      <w:pPr>
        <w:pStyle w:val="H1Off"/>
      </w:pPr>
      <w:r>
        <w:t>5. Évaluation (S×P) et hiérarchisation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1559"/>
        <w:gridCol w:w="1559"/>
        <w:gridCol w:w="1559"/>
        <w:gridCol w:w="1559"/>
        <w:gridCol w:w="1559"/>
        <w:gridCol w:w="1559"/>
      </w:tblGrid>
      <w:tr>
        <w:tc>
          <w:tcPr>
            <w:tcW w:type="dxa" w:w="1559"/>
            <w:shd w:val="clear" w:color="auto" w:fill="EDEDED"/>
          </w:tcPr>
          <w:p>
            <w:r>
              <w:rPr>
                <w:rStyle w:val="THOff"/>
              </w:rPr>
              <w:t>ID danger</w:t>
            </w:r>
          </w:p>
        </w:tc>
        <w:tc>
          <w:tcPr>
            <w:tcW w:type="dxa" w:w="1559"/>
            <w:shd w:val="clear" w:color="auto" w:fill="EDEDED"/>
          </w:tcPr>
          <w:p>
            <w:r>
              <w:rPr>
                <w:rStyle w:val="THOff"/>
              </w:rPr>
              <w:t>S (1–5)</w:t>
            </w:r>
          </w:p>
        </w:tc>
        <w:tc>
          <w:tcPr>
            <w:tcW w:type="dxa" w:w="1559"/>
            <w:shd w:val="clear" w:color="auto" w:fill="EDEDED"/>
          </w:tcPr>
          <w:p>
            <w:r>
              <w:rPr>
                <w:rStyle w:val="THOff"/>
              </w:rPr>
              <w:t>P (1–5)</w:t>
            </w:r>
          </w:p>
        </w:tc>
        <w:tc>
          <w:tcPr>
            <w:tcW w:type="dxa" w:w="1559"/>
            <w:shd w:val="clear" w:color="auto" w:fill="EDEDED"/>
          </w:tcPr>
          <w:p>
            <w:r>
              <w:rPr>
                <w:rStyle w:val="THOff"/>
              </w:rPr>
              <w:t>R=S×P</w:t>
            </w:r>
          </w:p>
        </w:tc>
        <w:tc>
          <w:tcPr>
            <w:tcW w:type="dxa" w:w="1559"/>
            <w:shd w:val="clear" w:color="auto" w:fill="EDEDED"/>
          </w:tcPr>
          <w:p>
            <w:r>
              <w:rPr>
                <w:rStyle w:val="THOff"/>
              </w:rPr>
              <w:t>Priorité (É/M/F)</w:t>
            </w:r>
          </w:p>
        </w:tc>
        <w:tc>
          <w:tcPr>
            <w:tcW w:type="dxa" w:w="1559"/>
            <w:shd w:val="clear" w:color="auto" w:fill="EDEDED"/>
          </w:tcPr>
          <w:p>
            <w:r>
              <w:rPr>
                <w:rStyle w:val="THOff"/>
              </w:rPr>
              <w:t>Justification de la cotation</w:t>
            </w:r>
          </w:p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</w:tbl>
    <w:p>
      <w:pPr>
        <w:pStyle w:val="H1Off"/>
      </w:pPr>
      <w:r>
        <w:t>6. Mesures de prévention (hiérarchie)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1559"/>
        <w:gridCol w:w="1559"/>
        <w:gridCol w:w="1559"/>
        <w:gridCol w:w="1559"/>
        <w:gridCol w:w="1559"/>
        <w:gridCol w:w="1559"/>
      </w:tblGrid>
      <w:tr>
        <w:tc>
          <w:tcPr>
            <w:tcW w:type="dxa" w:w="1559"/>
            <w:shd w:val="clear" w:color="auto" w:fill="EDEDED"/>
          </w:tcPr>
          <w:p>
            <w:r>
              <w:rPr>
                <w:rStyle w:val="THOff"/>
              </w:rPr>
              <w:t>ID danger</w:t>
            </w:r>
          </w:p>
        </w:tc>
        <w:tc>
          <w:tcPr>
            <w:tcW w:type="dxa" w:w="1559"/>
            <w:shd w:val="clear" w:color="auto" w:fill="EDEDED"/>
          </w:tcPr>
          <w:p>
            <w:r>
              <w:rPr>
                <w:rStyle w:val="THOff"/>
              </w:rPr>
              <w:t>Élimination / Substitution</w:t>
            </w:r>
          </w:p>
        </w:tc>
        <w:tc>
          <w:tcPr>
            <w:tcW w:type="dxa" w:w="1559"/>
            <w:shd w:val="clear" w:color="auto" w:fill="EDEDED"/>
          </w:tcPr>
          <w:p>
            <w:r>
              <w:rPr>
                <w:rStyle w:val="THOff"/>
              </w:rPr>
              <w:t>Ingénierie (technique)</w:t>
            </w:r>
          </w:p>
        </w:tc>
        <w:tc>
          <w:tcPr>
            <w:tcW w:type="dxa" w:w="1559"/>
            <w:shd w:val="clear" w:color="auto" w:fill="EDEDED"/>
          </w:tcPr>
          <w:p>
            <w:r>
              <w:rPr>
                <w:rStyle w:val="THOff"/>
              </w:rPr>
              <w:t>Organisation / Procédures</w:t>
            </w:r>
          </w:p>
        </w:tc>
        <w:tc>
          <w:tcPr>
            <w:tcW w:type="dxa" w:w="1559"/>
            <w:shd w:val="clear" w:color="auto" w:fill="EDEDED"/>
          </w:tcPr>
          <w:p>
            <w:r>
              <w:rPr>
                <w:rStyle w:val="THOff"/>
              </w:rPr>
              <w:t>Information / Formation</w:t>
            </w:r>
          </w:p>
        </w:tc>
        <w:tc>
          <w:tcPr>
            <w:tcW w:type="dxa" w:w="1559"/>
            <w:shd w:val="clear" w:color="auto" w:fill="EDEDED"/>
          </w:tcPr>
          <w:p>
            <w:r>
              <w:rPr>
                <w:rStyle w:val="THOff"/>
              </w:rPr>
              <w:t>EPI (résiduel)</w:t>
            </w:r>
          </w:p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  <w:tr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  <w:tc>
          <w:tcPr>
            <w:tcW w:type="dxa" w:w="1559"/>
          </w:tcPr>
          <w:p/>
        </w:tc>
      </w:tr>
    </w:tbl>
    <w:p>
      <w:pPr>
        <w:pStyle w:val="H1Off"/>
      </w:pPr>
      <w:r>
        <w:t>7. Plan d’action et suivi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1336"/>
        <w:gridCol w:w="1336"/>
        <w:gridCol w:w="1336"/>
        <w:gridCol w:w="1336"/>
        <w:gridCol w:w="1336"/>
        <w:gridCol w:w="1336"/>
        <w:gridCol w:w="1336"/>
      </w:tblGrid>
      <w:tr>
        <w:tc>
          <w:tcPr>
            <w:tcW w:type="dxa" w:w="1336"/>
            <w:shd w:val="clear" w:color="auto" w:fill="EDEDED"/>
          </w:tcPr>
          <w:p>
            <w:r>
              <w:rPr>
                <w:rStyle w:val="THOff"/>
              </w:rPr>
              <w:t>Action</w:t>
            </w:r>
          </w:p>
        </w:tc>
        <w:tc>
          <w:tcPr>
            <w:tcW w:type="dxa" w:w="1336"/>
            <w:shd w:val="clear" w:color="auto" w:fill="EDEDED"/>
          </w:tcPr>
          <w:p>
            <w:r>
              <w:rPr>
                <w:rStyle w:val="THOff"/>
              </w:rPr>
              <w:t>Responsable</w:t>
            </w:r>
          </w:p>
        </w:tc>
        <w:tc>
          <w:tcPr>
            <w:tcW w:type="dxa" w:w="1336"/>
            <w:shd w:val="clear" w:color="auto" w:fill="EDEDED"/>
          </w:tcPr>
          <w:p>
            <w:r>
              <w:rPr>
                <w:rStyle w:val="THOff"/>
              </w:rPr>
              <w:t>Échéance (AAAA-MM-JJ)</w:t>
            </w:r>
          </w:p>
        </w:tc>
        <w:tc>
          <w:tcPr>
            <w:tcW w:type="dxa" w:w="1336"/>
            <w:shd w:val="clear" w:color="auto" w:fill="EDEDED"/>
          </w:tcPr>
          <w:p>
            <w:r>
              <w:rPr>
                <w:rStyle w:val="THOff"/>
              </w:rPr>
              <w:t>Indicateur de succès</w:t>
            </w:r>
          </w:p>
        </w:tc>
        <w:tc>
          <w:tcPr>
            <w:tcW w:type="dxa" w:w="1336"/>
            <w:shd w:val="clear" w:color="auto" w:fill="EDEDED"/>
          </w:tcPr>
          <w:p>
            <w:r>
              <w:rPr>
                <w:rStyle w:val="THOff"/>
              </w:rPr>
              <w:t>Priorité</w:t>
            </w:r>
          </w:p>
        </w:tc>
        <w:tc>
          <w:tcPr>
            <w:tcW w:type="dxa" w:w="1336"/>
            <w:shd w:val="clear" w:color="auto" w:fill="EDEDED"/>
          </w:tcPr>
          <w:p>
            <w:r>
              <w:rPr>
                <w:rStyle w:val="THOff"/>
              </w:rPr>
              <w:t>Statut</w:t>
            </w:r>
          </w:p>
        </w:tc>
        <w:tc>
          <w:tcPr>
            <w:tcW w:type="dxa" w:w="1336"/>
            <w:shd w:val="clear" w:color="auto" w:fill="EDEDED"/>
          </w:tcPr>
          <w:p>
            <w:r>
              <w:rPr>
                <w:rStyle w:val="THOff"/>
              </w:rPr>
              <w:t>Preuve / Vérification</w:t>
            </w:r>
          </w:p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  <w:tr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  <w:tc>
          <w:tcPr>
            <w:tcW w:type="dxa" w:w="1336"/>
          </w:tcPr>
          <w:p/>
        </w:tc>
      </w:tr>
    </w:tbl>
    <w:p>
      <w:pPr>
        <w:pStyle w:val="H1Off"/>
      </w:pPr>
      <w:r>
        <w:t>8. Thématiques spécifiques (à cocher le cas échéant)</w:t>
      </w:r>
    </w:p>
    <w:p>
      <w:pPr>
        <w:pStyle w:val="BodyOff"/>
      </w:pPr>
      <w:r>
        <w:t>☐ Agents chimiques / FDS / Substitution</w:t>
      </w:r>
    </w:p>
    <w:p>
      <w:pPr>
        <w:pStyle w:val="BodyOff"/>
      </w:pPr>
      <w:r>
        <w:t>☐ Biologique / Déchets à risque</w:t>
      </w:r>
    </w:p>
    <w:p>
      <w:pPr>
        <w:pStyle w:val="BodyOff"/>
      </w:pPr>
      <w:r>
        <w:t>☐ Bruit / Vibrations</w:t>
      </w:r>
    </w:p>
    <w:p>
      <w:pPr>
        <w:pStyle w:val="BodyOff"/>
      </w:pPr>
      <w:r>
        <w:t>☐ Risques psychosociaux (RPS)</w:t>
      </w:r>
    </w:p>
    <w:p>
      <w:pPr>
        <w:pStyle w:val="BodyOff"/>
      </w:pPr>
      <w:r>
        <w:t>☐ Ergonomie / TMS / Manutention</w:t>
      </w:r>
    </w:p>
    <w:p>
      <w:pPr>
        <w:pStyle w:val="BodyOff"/>
      </w:pPr>
      <w:r>
        <w:t>☐ Travail sur écran / Télétravail</w:t>
      </w:r>
    </w:p>
    <w:p>
      <w:pPr>
        <w:pStyle w:val="BodyOff"/>
      </w:pPr>
      <w:r>
        <w:t>☐ Électricité / Machines / Cadenassage</w:t>
      </w:r>
    </w:p>
    <w:p>
      <w:pPr>
        <w:pStyle w:val="BodyOff"/>
      </w:pPr>
      <w:r>
        <w:t>☐ Espaces confinés / Hauteur</w:t>
      </w:r>
    </w:p>
    <w:p>
      <w:pPr>
        <w:pStyle w:val="BodyOff"/>
      </w:pPr>
      <w:r>
        <w:t>☐ Circulation interne / Véhicules</w:t>
      </w:r>
    </w:p>
    <w:p>
      <w:pPr>
        <w:pStyle w:val="BodyOff"/>
      </w:pPr>
      <w:r>
        <w:t>☐ Incendie / Explosion / ATEX</w:t>
      </w:r>
    </w:p>
    <w:p>
      <w:pPr>
        <w:pStyle w:val="BodyOff"/>
      </w:pPr>
      <w:r>
        <w:t>☐ Co-activité / Entreprises extérieures</w:t>
      </w:r>
    </w:p>
    <w:p>
      <w:pPr>
        <w:pStyle w:val="BodyOff"/>
      </w:pPr>
      <w:r>
        <w:t>☐ Public / Violence / Incivilités</w:t>
      </w:r>
    </w:p>
    <w:p>
      <w:pPr>
        <w:pStyle w:val="BodyOff"/>
      </w:pPr>
      <w:r>
        <w:t>☐ Travailleurs isolés / Horaires atypiques</w:t>
      </w:r>
    </w:p>
    <w:p>
      <w:pPr>
        <w:pStyle w:val="BodyOff"/>
      </w:pPr>
      <w:r>
        <w:t>☐ Jeunes / Femmes enceintes / Travailleurs handicapés</w:t>
      </w:r>
    </w:p>
    <w:p>
      <w:pPr>
        <w:pStyle w:val="H1Off"/>
      </w:pPr>
      <w:r>
        <w:t>9. Consultation des représentants du personnel (CSE/CSSCT)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1871"/>
        <w:gridCol w:w="1871"/>
        <w:gridCol w:w="1871"/>
        <w:gridCol w:w="1871"/>
        <w:gridCol w:w="1871"/>
      </w:tblGrid>
      <w:tr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Instance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Date de présentation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Avis / Recommandations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Réponse de l’employeur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Référence PV</w:t>
            </w:r>
          </w:p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</w:tbl>
    <w:p>
      <w:pPr>
        <w:pStyle w:val="H1Off"/>
      </w:pPr>
      <w:r>
        <w:t>10. Mise à jour et traçabilité des versions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1871"/>
        <w:gridCol w:w="1871"/>
        <w:gridCol w:w="1871"/>
        <w:gridCol w:w="1871"/>
        <w:gridCol w:w="1871"/>
      </w:tblGrid>
      <w:tr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Version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Date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Motif (changement, incident, réorganisation, info nouvelle)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Périmètre impacté</w:t>
            </w:r>
          </w:p>
        </w:tc>
        <w:tc>
          <w:tcPr>
            <w:tcW w:type="dxa" w:w="1871"/>
            <w:shd w:val="clear" w:color="auto" w:fill="EDEDED"/>
          </w:tcPr>
          <w:p>
            <w:r>
              <w:rPr>
                <w:rStyle w:val="THOff"/>
              </w:rPr>
              <w:t>Auteur / Validation</w:t>
            </w:r>
          </w:p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  <w:tr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  <w:tc>
          <w:tcPr>
            <w:tcW w:type="dxa" w:w="1871"/>
          </w:tcPr>
          <w:p/>
        </w:tc>
      </w:tr>
    </w:tbl>
    <w:p>
      <w:pPr>
        <w:pStyle w:val="H1Off"/>
      </w:pPr>
      <w:r>
        <w:t>11. Diffusion et accès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2339"/>
        <w:gridCol w:w="2339"/>
        <w:gridCol w:w="2339"/>
        <w:gridCol w:w="2339"/>
      </w:tblGrid>
      <w:tr>
        <w:tc>
          <w:tcPr>
            <w:tcW w:type="dxa" w:w="2339"/>
            <w:shd w:val="clear" w:color="auto" w:fill="EDEDED"/>
          </w:tcPr>
          <w:p>
            <w:r>
              <w:rPr>
                <w:rStyle w:val="THOff"/>
              </w:rPr>
              <w:t>Destinataires (interne/externe)</w:t>
            </w:r>
          </w:p>
        </w:tc>
        <w:tc>
          <w:tcPr>
            <w:tcW w:type="dxa" w:w="2339"/>
            <w:shd w:val="clear" w:color="auto" w:fill="EDEDED"/>
          </w:tcPr>
          <w:p>
            <w:r>
              <w:rPr>
                <w:rStyle w:val="THOff"/>
              </w:rPr>
              <w:t>Support (intranet, affichage…)</w:t>
            </w:r>
          </w:p>
        </w:tc>
        <w:tc>
          <w:tcPr>
            <w:tcW w:type="dxa" w:w="2339"/>
            <w:shd w:val="clear" w:color="auto" w:fill="EDEDED"/>
          </w:tcPr>
          <w:p>
            <w:r>
              <w:rPr>
                <w:rStyle w:val="THOff"/>
              </w:rPr>
              <w:t>Limites de diffusion (données sensibles)</w:t>
            </w:r>
          </w:p>
        </w:tc>
        <w:tc>
          <w:tcPr>
            <w:tcW w:type="dxa" w:w="2339"/>
            <w:shd w:val="clear" w:color="auto" w:fill="EDEDED"/>
          </w:tcPr>
          <w:p>
            <w:r>
              <w:rPr>
                <w:rStyle w:val="THOff"/>
              </w:rPr>
              <w:t>Durée de conservation</w:t>
            </w:r>
          </w:p>
        </w:tc>
      </w:tr>
      <w:tr>
        <w:tc>
          <w:tcPr>
            <w:tcW w:type="dxa" w:w="2339"/>
          </w:tcPr>
          <w:p/>
        </w:tc>
        <w:tc>
          <w:tcPr>
            <w:tcW w:type="dxa" w:w="2339"/>
          </w:tcPr>
          <w:p/>
        </w:tc>
        <w:tc>
          <w:tcPr>
            <w:tcW w:type="dxa" w:w="2339"/>
          </w:tcPr>
          <w:p/>
        </w:tc>
        <w:tc>
          <w:tcPr>
            <w:tcW w:type="dxa" w:w="2339"/>
          </w:tcPr>
          <w:p/>
        </w:tc>
      </w:tr>
    </w:tbl>
    <w:p>
      <w:pPr>
        <w:pStyle w:val="H1Off"/>
      </w:pPr>
      <w:r>
        <w:t>12. Approbations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</w:tblPr>
      <w:tblGrid>
        <w:gridCol w:w="4677"/>
        <w:gridCol w:w="4677"/>
      </w:tblGrid>
      <w:tr>
        <w:tc>
          <w:tcPr>
            <w:tcW w:type="dxa" w:w="4677"/>
            <w:shd w:val="clear" w:color="auto" w:fill="EDEDED"/>
          </w:tcPr>
          <w:p>
            <w:r>
              <w:rPr>
                <w:rStyle w:val="THOff"/>
              </w:rPr>
              <w:t>Direction (nom, signature, date)</w:t>
            </w:r>
          </w:p>
        </w:tc>
        <w:tc>
          <w:tcPr>
            <w:tcW w:type="dxa" w:w="4677"/>
            <w:shd w:val="clear" w:color="auto" w:fill="EDEDED"/>
          </w:tcPr>
          <w:p>
            <w:r>
              <w:rPr>
                <w:rStyle w:val="THOff"/>
              </w:rPr>
              <w:t>Référent DUERP (nom, signature, date)</w:t>
            </w:r>
          </w:p>
        </w:tc>
      </w:tr>
      <w:tr>
        <w:tc>
          <w:tcPr>
            <w:tcW w:type="dxa" w:w="4677"/>
          </w:tcPr>
          <w:p/>
        </w:tc>
        <w:tc>
          <w:tcPr>
            <w:tcW w:type="dxa" w:w="4677"/>
          </w:tcPr>
          <w:p/>
        </w:tc>
      </w:tr>
    </w:tbl>
    <w:p>
      <w:pPr>
        <w:pStyle w:val="H1Off"/>
      </w:pPr>
      <w:r>
        <w:t>ANNEXES</w:t>
      </w:r>
    </w:p>
    <w:p>
      <w:pPr>
        <w:pStyle w:val="H2Off"/>
      </w:pPr>
      <w:r>
        <w:t>Annexe A — Mesures et rapports (mesures de bruit, vibrations, qualité d’air, etc.)</w:t>
      </w:r>
    </w:p>
    <w:p>
      <w:pPr>
        <w:pStyle w:val="H2Off"/>
      </w:pPr>
      <w:r>
        <w:t>Annexe B — Photographies et plans annotés</w:t>
      </w:r>
    </w:p>
    <w:p>
      <w:pPr>
        <w:pStyle w:val="H2Off"/>
      </w:pPr>
      <w:r>
        <w:t>Annexe C — Procédures et consignes applicables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1134" w:right="1134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SousTitreOff"/>
    </w:pPr>
    <w:r>
      <w:t>DUERP — modèle officiel interne — 2025-09-25  |  Diffusion maîtrisée — usage interne.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BodyOff"/>
    </w:pPr>
    <w:r>
      <w:rPr>
        <w:b/>
      </w:rPr>
      <w:t>Organisation : _________________________________   Code documentaire : __________</w:t>
      <w:br/>
    </w:r>
    <w:r>
      <w:t>Version : ____   Date : ____   Périmètre : __________________________</w:t>
    </w:r>
  </w:p>
  <w:p>
    <w:pPr>
      <w:jc w:val="right"/>
    </w:pPr>
    <w:r>
      <w:rPr>
        <w:i/>
      </w:rPr>
      <w:t>Zone logo (Insérer &gt; Images)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reOff">
    <w:name w:val="TitreOff"/>
    <w:rPr>
      <w:rFonts w:ascii="Times New Roman" w:hAnsi="Times New Roman"/>
      <w:b/>
      <w:sz w:val="36"/>
    </w:rPr>
  </w:style>
  <w:style w:type="paragraph" w:customStyle="1" w:styleId="SousTitreOff">
    <w:name w:val="SousTitreOff"/>
    <w:rPr>
      <w:rFonts w:ascii="Times New Roman" w:hAnsi="Times New Roman"/>
      <w:i/>
      <w:sz w:val="22"/>
    </w:rPr>
  </w:style>
  <w:style w:type="paragraph" w:customStyle="1" w:styleId="H1Off">
    <w:name w:val="H1Off"/>
    <w:rPr>
      <w:rFonts w:ascii="Times New Roman" w:hAnsi="Times New Roman"/>
      <w:b/>
      <w:sz w:val="28"/>
    </w:rPr>
  </w:style>
  <w:style w:type="paragraph" w:customStyle="1" w:styleId="H2Off">
    <w:name w:val="H2Off"/>
    <w:rPr>
      <w:rFonts w:ascii="Times New Roman" w:hAnsi="Times New Roman"/>
      <w:b/>
      <w:sz w:val="24"/>
    </w:rPr>
  </w:style>
  <w:style w:type="paragraph" w:customStyle="1" w:styleId="BodyOff">
    <w:name w:val="BodyOff"/>
    <w:rPr>
      <w:rFonts w:ascii="Times New Roman" w:hAnsi="Times New Roman"/>
      <w:sz w:val="24"/>
    </w:rPr>
  </w:style>
  <w:style w:type="character" w:customStyle="1" w:styleId="THOff">
    <w:name w:val="THOff"/>
    <w:rPr>
      <w:rFonts w:ascii="Times New Roman" w:hAnsi="Times New Roman"/>
      <w:b/>
      <w:color w:val="000000"/>
      <w:sz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