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  <w:tblBorders>
          <w:top w:val="single" w:sz="0" w:color="111827"/>
          <w:left w:val="single" w:sz="0" w:color="111827"/>
          <w:bottom w:val="single" w:sz="0" w:color="111827"/>
          <w:right w:val="single" w:sz="0" w:color="111827"/>
          <w:insideH w:val="single" w:sz="0" w:color="111827"/>
          <w:insideV w:val="single" w:sz="0" w:color="111827"/>
        </w:tblBorders>
      </w:tblPr>
      <w:tblGrid>
        <w:gridCol w:w="5046"/>
        <w:gridCol w:w="5046"/>
      </w:tblGrid>
      <w:tr>
        <w:tc>
          <w:tcPr>
            <w:tcW w:type="dxa" w:w="737"/>
            <w:shd w:fill="111827"/>
          </w:tcPr>
          <w:p/>
        </w:tc>
        <w:tc>
          <w:tcPr>
            <w:tcW w:type="dxa" w:w="5046"/>
          </w:tcPr>
          <w:p>
            <w:r>
              <w:rPr>
                <w:b/>
                <w:sz w:val="36"/>
              </w:rPr>
              <w:t>CONDITIONS GÉNÉRALES DE VENTE (CGV) — MODÈLE GRATUIT</w:t>
            </w:r>
          </w:p>
          <w:p>
            <w:r>
              <w:rPr>
                <w:color w:val="5A5A5A"/>
                <w:sz w:val="20"/>
              </w:rPr>
              <w:t>Vendeur • Commande • Paiement • Livraison • Rétractation • Garanties • Données • Litiges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fill="F59E0B"/>
          </w:tcPr>
          <w:p>
            <w:r>
              <w:rPr>
                <w:b/>
              </w:rPr>
              <w:t>Conception « Noir &amp; Or — Magazine » • A4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0" w:color="111827"/>
          <w:left w:val="single" w:sz="0" w:color="111827"/>
          <w:bottom w:val="single" w:sz="0" w:color="111827"/>
          <w:right w:val="single" w:sz="0" w:color="111827"/>
          <w:insideH w:val="single" w:sz="0" w:color="111827"/>
          <w:insideV w:val="single" w:sz="0" w:color="111827"/>
        </w:tblBorders>
      </w:tblPr>
      <w:tblGrid>
        <w:gridCol w:w="3364"/>
        <w:gridCol w:w="3364"/>
        <w:gridCol w:w="3364"/>
      </w:tblGrid>
      <w:tr>
        <w:tc>
          <w:tcPr>
            <w:tcW w:type="dxa" w:w="198"/>
            <w:shd w:fill="111827"/>
          </w:tcPr>
          <w:p/>
        </w:tc>
        <w:tc>
          <w:tcPr>
            <w:tcW w:type="dxa" w:w="3364"/>
          </w:tcPr>
          <w:p>
            <w:r>
              <w:rPr>
                <w:b/>
                <w:sz w:val="40"/>
              </w:rPr>
              <w:t>00</w:t>
            </w:r>
          </w:p>
        </w:tc>
        <w:tc>
          <w:tcPr>
            <w:tcW w:type="dxa" w:w="3364"/>
            <w:shd w:fill="F59E0B"/>
          </w:tcPr>
          <w:p>
            <w:r>
              <w:rPr>
                <w:b/>
                <w:sz w:val="24"/>
              </w:rPr>
              <w:t>AVERTISSEMENT (MODÈLE INDICATIF)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dashed" w:sz="12" w:color="111827"/>
          <w:left w:val="dashed" w:sz="12" w:color="111827"/>
          <w:bottom w:val="dashed" w:sz="12" w:color="111827"/>
          <w:right w:val="dashed" w:sz="12" w:color="111827"/>
          <w:insideH w:val="dashed" w:sz="12" w:color="111827"/>
          <w:insideV w:val="dashed" w:sz="12" w:color="111827"/>
        </w:tblBorders>
      </w:tblPr>
      <w:tblGrid>
        <w:gridCol w:w="10092"/>
      </w:tblGrid>
      <w:tr>
        <w:tc>
          <w:tcPr>
            <w:tcW w:type="dxa" w:w="10092"/>
            <w:shd w:fill="FFF7ED"/>
          </w:tcPr>
          <w:p>
            <w:r>
              <w:rPr>
                <w:b/>
              </w:rPr>
              <w:t xml:space="preserve">Important — </w:t>
            </w:r>
          </w:p>
          <w:p>
            <w:r>
              <w:t>Ce modèle doit être adapté (B2C/B2B, produits/services, juridiction). Il ne constitue pas un conseil juridique.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0" w:color="111827"/>
          <w:left w:val="single" w:sz="0" w:color="111827"/>
          <w:bottom w:val="single" w:sz="0" w:color="111827"/>
          <w:right w:val="single" w:sz="0" w:color="111827"/>
          <w:insideH w:val="single" w:sz="0" w:color="111827"/>
          <w:insideV w:val="single" w:sz="0" w:color="111827"/>
        </w:tblBorders>
      </w:tblPr>
      <w:tblGrid>
        <w:gridCol w:w="3364"/>
        <w:gridCol w:w="3364"/>
        <w:gridCol w:w="3364"/>
      </w:tblGrid>
      <w:tr>
        <w:tc>
          <w:tcPr>
            <w:tcW w:type="dxa" w:w="198"/>
            <w:shd w:fill="111827"/>
          </w:tcPr>
          <w:p/>
        </w:tc>
        <w:tc>
          <w:tcPr>
            <w:tcW w:type="dxa" w:w="3364"/>
          </w:tcPr>
          <w:p>
            <w:r>
              <w:rPr>
                <w:b/>
                <w:sz w:val="40"/>
              </w:rPr>
              <w:t>01</w:t>
            </w:r>
          </w:p>
        </w:tc>
        <w:tc>
          <w:tcPr>
            <w:tcW w:type="dxa" w:w="3364"/>
            <w:shd w:fill="F59E0B"/>
          </w:tcPr>
          <w:p>
            <w:r>
              <w:rPr>
                <w:b/>
                <w:sz w:val="24"/>
              </w:rPr>
              <w:t>RÉSUMÉ DES CONDITIONS ESSENTIELLES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2" w:color="111827"/>
          <w:left w:val="single" w:sz="12" w:color="111827"/>
          <w:bottom w:val="single" w:sz="12" w:color="111827"/>
          <w:right w:val="single" w:sz="12" w:color="111827"/>
          <w:insideH w:val="single" w:sz="12" w:color="111827"/>
          <w:insideV w:val="single" w:sz="12" w:color="111827"/>
        </w:tblBorders>
      </w:tblPr>
      <w:tblGrid>
        <w:gridCol w:w="5046"/>
        <w:gridCol w:w="5046"/>
      </w:tblGrid>
      <w:tr>
        <w:tc>
          <w:tcPr>
            <w:tcW w:type="dxa" w:w="5046"/>
            <w:shd w:fill="FDE68A"/>
          </w:tcPr>
          <w:p>
            <w:r>
              <w:t>Vendeur (dénomination / forme / ID / adresse)</w:t>
            </w:r>
          </w:p>
        </w:tc>
        <w:tc>
          <w:tcPr>
            <w:tcW w:type="dxa" w:w="5046"/>
          </w:tcPr>
          <w:p>
            <w:r/>
          </w:p>
        </w:tc>
      </w:tr>
      <w:tr>
        <w:tc>
          <w:tcPr>
            <w:tcW w:type="dxa" w:w="5046"/>
            <w:shd w:fill="FDE68A"/>
          </w:tcPr>
          <w:p>
            <w:r>
              <w:t>SIREN/SIRET – TVA intracom</w:t>
            </w:r>
          </w:p>
        </w:tc>
        <w:tc>
          <w:tcPr>
            <w:tcW w:type="dxa" w:w="5046"/>
          </w:tcPr>
          <w:p>
            <w:r/>
          </w:p>
        </w:tc>
      </w:tr>
      <w:tr>
        <w:tc>
          <w:tcPr>
            <w:tcW w:type="dxa" w:w="5046"/>
            <w:shd w:fill="FDE68A"/>
          </w:tcPr>
          <w:p>
            <w:r>
              <w:t>Service client</w:t>
            </w:r>
          </w:p>
        </w:tc>
        <w:tc>
          <w:tcPr>
            <w:tcW w:type="dxa" w:w="5046"/>
          </w:tcPr>
          <w:p>
            <w:r>
              <w:t>[e‑mail] – [téléphone] – [plages horaires]</w:t>
            </w:r>
          </w:p>
        </w:tc>
      </w:tr>
      <w:tr>
        <w:tc>
          <w:tcPr>
            <w:tcW w:type="dxa" w:w="5046"/>
            <w:shd w:fill="FDE68A"/>
          </w:tcPr>
          <w:p>
            <w:r>
              <w:t>Champ d’application</w:t>
            </w:r>
          </w:p>
        </w:tc>
        <w:tc>
          <w:tcPr>
            <w:tcW w:type="dxa" w:w="5046"/>
          </w:tcPr>
          <w:p>
            <w:r>
              <w:t>[B2C / B2B / les deux] ; [territoires] ; [langue]</w:t>
            </w:r>
          </w:p>
        </w:tc>
      </w:tr>
      <w:tr>
        <w:tc>
          <w:tcPr>
            <w:tcW w:type="dxa" w:w="5046"/>
            <w:shd w:fill="FDE68A"/>
          </w:tcPr>
          <w:p>
            <w:r>
              <w:t>Devise &amp; taxes</w:t>
            </w:r>
          </w:p>
        </w:tc>
        <w:tc>
          <w:tcPr>
            <w:tcW w:type="dxa" w:w="5046"/>
          </w:tcPr>
          <w:p>
            <w:r>
              <w:t>[EUR] ; prix [HT/TTC] ; TVA selon lois applicables</w:t>
            </w:r>
          </w:p>
        </w:tc>
      </w:tr>
      <w:tr>
        <w:tc>
          <w:tcPr>
            <w:tcW w:type="dxa" w:w="5046"/>
            <w:shd w:fill="FDE68A"/>
          </w:tcPr>
          <w:p>
            <w:r>
              <w:t>Médiateur consommation (B2C)</w:t>
            </w:r>
          </w:p>
        </w:tc>
        <w:tc>
          <w:tcPr>
            <w:tcW w:type="dxa" w:w="5046"/>
          </w:tcPr>
          <w:p>
            <w:r>
              <w:t>[Nom/coordonnées] (si applicable)</w:t>
            </w:r>
          </w:p>
        </w:tc>
      </w:tr>
      <w:tr>
        <w:tc>
          <w:tcPr>
            <w:tcW w:type="dxa" w:w="5046"/>
            <w:shd w:fill="FDE68A"/>
          </w:tcPr>
          <w:p>
            <w:r>
              <w:t>Date d’entrée en vigueur</w:t>
            </w:r>
          </w:p>
        </w:tc>
        <w:tc>
          <w:tcPr>
            <w:tcW w:type="dxa" w:w="5046"/>
          </w:tcPr>
          <w:p>
            <w:r>
              <w:t>[JJ/MM/AAAA]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0" w:color="111827"/>
          <w:left w:val="single" w:sz="0" w:color="111827"/>
          <w:bottom w:val="single" w:sz="0" w:color="111827"/>
          <w:right w:val="single" w:sz="0" w:color="111827"/>
          <w:insideH w:val="single" w:sz="0" w:color="111827"/>
          <w:insideV w:val="single" w:sz="0" w:color="111827"/>
        </w:tblBorders>
      </w:tblPr>
      <w:tblGrid>
        <w:gridCol w:w="3364"/>
        <w:gridCol w:w="3364"/>
        <w:gridCol w:w="3364"/>
      </w:tblGrid>
      <w:tr>
        <w:tc>
          <w:tcPr>
            <w:tcW w:type="dxa" w:w="198"/>
            <w:shd w:fill="111827"/>
          </w:tcPr>
          <w:p/>
        </w:tc>
        <w:tc>
          <w:tcPr>
            <w:tcW w:type="dxa" w:w="3364"/>
          </w:tcPr>
          <w:p>
            <w:r>
              <w:rPr>
                <w:b/>
                <w:sz w:val="40"/>
              </w:rPr>
              <w:t>02</w:t>
            </w:r>
          </w:p>
        </w:tc>
        <w:tc>
          <w:tcPr>
            <w:tcW w:type="dxa" w:w="3364"/>
            <w:shd w:fill="F59E0B"/>
          </w:tcPr>
          <w:p>
            <w:r>
              <w:rPr>
                <w:b/>
                <w:sz w:val="24"/>
              </w:rPr>
              <w:t>OBJET &amp; CHAMP D’APPLICATION</w:t>
            </w:r>
          </w:p>
        </w:tc>
      </w:tr>
    </w:tbl>
    <w:p/>
    <w:p>
      <w:r>
        <w:t>Les présentes CGV régissent les ventes de [Produits/Services] réalisées par le Vendeur auprès de [Clients consommateurs et/ou professionnels], sur le site [URL] et/ou par tout autre canal accepté, pour les territoires mentionnés au Résumé.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0" w:color="111827"/>
          <w:left w:val="single" w:sz="0" w:color="111827"/>
          <w:bottom w:val="single" w:sz="0" w:color="111827"/>
          <w:right w:val="single" w:sz="0" w:color="111827"/>
          <w:insideH w:val="single" w:sz="0" w:color="111827"/>
          <w:insideV w:val="single" w:sz="0" w:color="111827"/>
        </w:tblBorders>
      </w:tblPr>
      <w:tblGrid>
        <w:gridCol w:w="3364"/>
        <w:gridCol w:w="3364"/>
        <w:gridCol w:w="3364"/>
      </w:tblGrid>
      <w:tr>
        <w:tc>
          <w:tcPr>
            <w:tcW w:type="dxa" w:w="198"/>
            <w:shd w:fill="111827"/>
          </w:tcPr>
          <w:p/>
        </w:tc>
        <w:tc>
          <w:tcPr>
            <w:tcW w:type="dxa" w:w="3364"/>
          </w:tcPr>
          <w:p>
            <w:r>
              <w:rPr>
                <w:b/>
                <w:sz w:val="40"/>
              </w:rPr>
              <w:t>03</w:t>
            </w:r>
          </w:p>
        </w:tc>
        <w:tc>
          <w:tcPr>
            <w:tcW w:type="dxa" w:w="3364"/>
            <w:shd w:fill="F59E0B"/>
          </w:tcPr>
          <w:p>
            <w:r>
              <w:rPr>
                <w:b/>
                <w:sz w:val="24"/>
              </w:rPr>
              <w:t>INFORMATIONS PRÉCONTRACTUELLES (B2C)</w:t>
            </w:r>
          </w:p>
        </w:tc>
      </w:tr>
    </w:tbl>
    <w:p/>
    <w:p>
      <w:r>
        <w:t>Le Vendeur fournit les informations essentielles : caractéristiques des Produits/Services, prix, frais, modalités de paiement/livraison/exécution, garanties et droit de rétractation, lorsque applicable.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0" w:color="111827"/>
          <w:left w:val="single" w:sz="0" w:color="111827"/>
          <w:bottom w:val="single" w:sz="0" w:color="111827"/>
          <w:right w:val="single" w:sz="0" w:color="111827"/>
          <w:insideH w:val="single" w:sz="0" w:color="111827"/>
          <w:insideV w:val="single" w:sz="0" w:color="111827"/>
        </w:tblBorders>
      </w:tblPr>
      <w:tblGrid>
        <w:gridCol w:w="3364"/>
        <w:gridCol w:w="3364"/>
        <w:gridCol w:w="3364"/>
      </w:tblGrid>
      <w:tr>
        <w:tc>
          <w:tcPr>
            <w:tcW w:type="dxa" w:w="198"/>
            <w:shd w:fill="111827"/>
          </w:tcPr>
          <w:p/>
        </w:tc>
        <w:tc>
          <w:tcPr>
            <w:tcW w:type="dxa" w:w="3364"/>
          </w:tcPr>
          <w:p>
            <w:r>
              <w:rPr>
                <w:b/>
                <w:sz w:val="40"/>
              </w:rPr>
              <w:t>04</w:t>
            </w:r>
          </w:p>
        </w:tc>
        <w:tc>
          <w:tcPr>
            <w:tcW w:type="dxa" w:w="3364"/>
            <w:shd w:fill="F59E0B"/>
          </w:tcPr>
          <w:p>
            <w:r>
              <w:rPr>
                <w:b/>
                <w:sz w:val="24"/>
              </w:rPr>
              <w:t>PRODUITS &amp; DISPONIBILITÉ</w:t>
            </w:r>
          </w:p>
        </w:tc>
      </w:tr>
    </w:tbl>
    <w:p/>
    <w:p>
      <w:r>
        <w:t>Descriptions et visuels à titre indicatif. En cas d’indisponibilité post‑commande, information du Client et remboursement ou alternative.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0" w:color="111827"/>
          <w:left w:val="single" w:sz="0" w:color="111827"/>
          <w:bottom w:val="single" w:sz="0" w:color="111827"/>
          <w:right w:val="single" w:sz="0" w:color="111827"/>
          <w:insideH w:val="single" w:sz="0" w:color="111827"/>
          <w:insideV w:val="single" w:sz="0" w:color="111827"/>
        </w:tblBorders>
      </w:tblPr>
      <w:tblGrid>
        <w:gridCol w:w="3364"/>
        <w:gridCol w:w="3364"/>
        <w:gridCol w:w="3364"/>
      </w:tblGrid>
      <w:tr>
        <w:tc>
          <w:tcPr>
            <w:tcW w:type="dxa" w:w="198"/>
            <w:shd w:fill="111827"/>
          </w:tcPr>
          <w:p/>
        </w:tc>
        <w:tc>
          <w:tcPr>
            <w:tcW w:type="dxa" w:w="3364"/>
          </w:tcPr>
          <w:p>
            <w:r>
              <w:rPr>
                <w:b/>
                <w:sz w:val="40"/>
              </w:rPr>
              <w:t>05</w:t>
            </w:r>
          </w:p>
        </w:tc>
        <w:tc>
          <w:tcPr>
            <w:tcW w:type="dxa" w:w="3364"/>
            <w:shd w:fill="F59E0B"/>
          </w:tcPr>
          <w:p>
            <w:r>
              <w:rPr>
                <w:b/>
                <w:sz w:val="24"/>
              </w:rPr>
              <w:t>PRIX, DEVISE &amp; RÉVISIONS</w:t>
            </w:r>
          </w:p>
        </w:tc>
      </w:tr>
    </w:tbl>
    <w:p/>
    <w:p>
      <w:r>
        <w:t>Prix indiqués en [EUR] et en [HT/TTC]. Révisions possibles pour commandes futures. En cas d’erreur manifeste, annulation et remboursement.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0" w:color="111827"/>
          <w:left w:val="single" w:sz="0" w:color="111827"/>
          <w:bottom w:val="single" w:sz="0" w:color="111827"/>
          <w:right w:val="single" w:sz="0" w:color="111827"/>
          <w:insideH w:val="single" w:sz="0" w:color="111827"/>
          <w:insideV w:val="single" w:sz="0" w:color="111827"/>
        </w:tblBorders>
      </w:tblPr>
      <w:tblGrid>
        <w:gridCol w:w="3364"/>
        <w:gridCol w:w="3364"/>
        <w:gridCol w:w="3364"/>
      </w:tblGrid>
      <w:tr>
        <w:tc>
          <w:tcPr>
            <w:tcW w:type="dxa" w:w="198"/>
            <w:shd w:fill="111827"/>
          </w:tcPr>
          <w:p/>
        </w:tc>
        <w:tc>
          <w:tcPr>
            <w:tcW w:type="dxa" w:w="3364"/>
          </w:tcPr>
          <w:p>
            <w:r>
              <w:rPr>
                <w:b/>
                <w:sz w:val="40"/>
              </w:rPr>
              <w:t>06</w:t>
            </w:r>
          </w:p>
        </w:tc>
        <w:tc>
          <w:tcPr>
            <w:tcW w:type="dxa" w:w="3364"/>
            <w:shd w:fill="F59E0B"/>
          </w:tcPr>
          <w:p>
            <w:r>
              <w:rPr>
                <w:b/>
                <w:sz w:val="24"/>
              </w:rPr>
              <w:t>COMMANDE &amp; ACCEPTATION</w:t>
            </w:r>
          </w:p>
        </w:tc>
      </w:tr>
    </w:tbl>
    <w:p/>
    <w:p>
      <w:r>
        <w:t>Parcours : sélection → récapitulatif → acceptation des CGV → paiement. Le Vendeur peut refuser une commande anormale/frauduleuse ou pour motif légitime. Confirmation écrite = formation du contrat.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0" w:color="111827"/>
          <w:left w:val="single" w:sz="0" w:color="111827"/>
          <w:bottom w:val="single" w:sz="0" w:color="111827"/>
          <w:right w:val="single" w:sz="0" w:color="111827"/>
          <w:insideH w:val="single" w:sz="0" w:color="111827"/>
          <w:insideV w:val="single" w:sz="0" w:color="111827"/>
        </w:tblBorders>
      </w:tblPr>
      <w:tblGrid>
        <w:gridCol w:w="3364"/>
        <w:gridCol w:w="3364"/>
        <w:gridCol w:w="3364"/>
      </w:tblGrid>
      <w:tr>
        <w:tc>
          <w:tcPr>
            <w:tcW w:type="dxa" w:w="198"/>
            <w:shd w:fill="111827"/>
          </w:tcPr>
          <w:p/>
        </w:tc>
        <w:tc>
          <w:tcPr>
            <w:tcW w:type="dxa" w:w="3364"/>
          </w:tcPr>
          <w:p>
            <w:r>
              <w:rPr>
                <w:b/>
                <w:sz w:val="40"/>
              </w:rPr>
              <w:t>07</w:t>
            </w:r>
          </w:p>
        </w:tc>
        <w:tc>
          <w:tcPr>
            <w:tcW w:type="dxa" w:w="3364"/>
            <w:shd w:fill="F59E0B"/>
          </w:tcPr>
          <w:p>
            <w:r>
              <w:rPr>
                <w:b/>
                <w:sz w:val="24"/>
              </w:rPr>
              <w:t>PAIEMENT, ÉCHÉANCES &amp; SÉCURISATION</w:t>
            </w:r>
          </w:p>
        </w:tc>
      </w:tr>
    </w:tbl>
    <w:p/>
    <w:p>
      <w:r>
        <w:t>Modes acceptés : [CB / virement / prélèvement / chèque / autres]. Paiement à la commande sauf dérogation au devis. En B2B, pénalités de retard à compter du lendemain de l’échéance + indemnité forfaitaire de recouvrement si applicable.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0" w:color="111827"/>
          <w:left w:val="single" w:sz="0" w:color="111827"/>
          <w:bottom w:val="single" w:sz="0" w:color="111827"/>
          <w:right w:val="single" w:sz="0" w:color="111827"/>
          <w:insideH w:val="single" w:sz="0" w:color="111827"/>
          <w:insideV w:val="single" w:sz="0" w:color="111827"/>
        </w:tblBorders>
      </w:tblPr>
      <w:tblGrid>
        <w:gridCol w:w="3364"/>
        <w:gridCol w:w="3364"/>
        <w:gridCol w:w="3364"/>
      </w:tblGrid>
      <w:tr>
        <w:tc>
          <w:tcPr>
            <w:tcW w:type="dxa" w:w="198"/>
            <w:shd w:fill="111827"/>
          </w:tcPr>
          <w:p/>
        </w:tc>
        <w:tc>
          <w:tcPr>
            <w:tcW w:type="dxa" w:w="3364"/>
          </w:tcPr>
          <w:p>
            <w:r>
              <w:rPr>
                <w:b/>
                <w:sz w:val="40"/>
              </w:rPr>
              <w:t>08</w:t>
            </w:r>
          </w:p>
        </w:tc>
        <w:tc>
          <w:tcPr>
            <w:tcW w:type="dxa" w:w="3364"/>
            <w:shd w:fill="F59E0B"/>
          </w:tcPr>
          <w:p>
            <w:r>
              <w:rPr>
                <w:b/>
                <w:sz w:val="24"/>
              </w:rPr>
              <w:t>RÉSERVE DE PROPRIÉTÉ</w:t>
            </w:r>
          </w:p>
        </w:tc>
      </w:tr>
    </w:tbl>
    <w:p/>
    <w:p>
      <w:r>
        <w:t>Transfert de propriété après paiement intégral. Les risques sont transférés à la livraison selon Incoterm ou règles convenues.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0" w:color="111827"/>
          <w:left w:val="single" w:sz="0" w:color="111827"/>
          <w:bottom w:val="single" w:sz="0" w:color="111827"/>
          <w:right w:val="single" w:sz="0" w:color="111827"/>
          <w:insideH w:val="single" w:sz="0" w:color="111827"/>
          <w:insideV w:val="single" w:sz="0" w:color="111827"/>
        </w:tblBorders>
      </w:tblPr>
      <w:tblGrid>
        <w:gridCol w:w="3364"/>
        <w:gridCol w:w="3364"/>
        <w:gridCol w:w="3364"/>
      </w:tblGrid>
      <w:tr>
        <w:tc>
          <w:tcPr>
            <w:tcW w:type="dxa" w:w="198"/>
            <w:shd w:fill="111827"/>
          </w:tcPr>
          <w:p/>
        </w:tc>
        <w:tc>
          <w:tcPr>
            <w:tcW w:type="dxa" w:w="3364"/>
          </w:tcPr>
          <w:p>
            <w:r>
              <w:rPr>
                <w:b/>
                <w:sz w:val="40"/>
              </w:rPr>
              <w:t>09</w:t>
            </w:r>
          </w:p>
        </w:tc>
        <w:tc>
          <w:tcPr>
            <w:tcW w:type="dxa" w:w="3364"/>
            <w:shd w:fill="F59E0B"/>
          </w:tcPr>
          <w:p>
            <w:r>
              <w:rPr>
                <w:b/>
                <w:sz w:val="24"/>
              </w:rPr>
              <w:t>LIVRAISON / EXÉCUTION</w:t>
            </w:r>
          </w:p>
        </w:tc>
      </w:tr>
    </w:tbl>
    <w:p/>
    <w:p>
      <w:r>
        <w:t>Délais indicatifs : [X] jours ouvrés. Livraison au point indiqué par le Client. Pour les services, exécution aux dates convenues. Retards raisonnables non indemnisables s’ils résultent d’une cause extérieure.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12" w:color="111827"/>
          <w:left w:val="single" w:sz="12" w:color="111827"/>
          <w:bottom w:val="single" w:sz="12" w:color="111827"/>
          <w:right w:val="single" w:sz="12" w:color="111827"/>
          <w:insideH w:val="single" w:sz="12" w:color="111827"/>
          <w:insideV w:val="single" w:sz="12" w:color="111827"/>
        </w:tblBorders>
      </w:tblPr>
      <w:tblGrid>
        <w:gridCol w:w="2018"/>
        <w:gridCol w:w="2018"/>
        <w:gridCol w:w="2018"/>
        <w:gridCol w:w="2018"/>
        <w:gridCol w:w="2018"/>
      </w:tblGrid>
      <w:tr>
        <w:tc>
          <w:tcPr>
            <w:tcW w:type="dxa" w:w="2018"/>
            <w:shd w:fill="FDE68A"/>
          </w:tcPr>
          <w:p>
            <w:r>
              <w:rPr>
                <w:b/>
              </w:rPr>
              <w:t>Zone</w:t>
            </w:r>
          </w:p>
        </w:tc>
        <w:tc>
          <w:tcPr>
            <w:tcW w:type="dxa" w:w="2018"/>
            <w:shd w:fill="FDE68A"/>
          </w:tcPr>
          <w:p>
            <w:r>
              <w:rPr>
                <w:b/>
              </w:rPr>
              <w:t>Mode/Transporteur</w:t>
            </w:r>
          </w:p>
        </w:tc>
        <w:tc>
          <w:tcPr>
            <w:tcW w:type="dxa" w:w="2018"/>
            <w:shd w:fill="FDE68A"/>
          </w:tcPr>
          <w:p>
            <w:r>
              <w:rPr>
                <w:b/>
              </w:rPr>
              <w:t>Délais indicatifs</w:t>
            </w:r>
          </w:p>
        </w:tc>
        <w:tc>
          <w:tcPr>
            <w:tcW w:type="dxa" w:w="2018"/>
            <w:shd w:fill="FDE68A"/>
          </w:tcPr>
          <w:p>
            <w:r>
              <w:rPr>
                <w:b/>
              </w:rPr>
              <w:t>Frais</w:t>
            </w:r>
          </w:p>
        </w:tc>
        <w:tc>
          <w:tcPr>
            <w:tcW w:type="dxa" w:w="2018"/>
            <w:shd w:fill="FDE68A"/>
          </w:tcPr>
          <w:p>
            <w:r>
              <w:rPr>
                <w:b/>
              </w:rPr>
              <w:t>Commentaires</w:t>
            </w:r>
          </w:p>
        </w:tc>
      </w:tr>
      <w:tr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</w:tr>
      <w:tr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</w:tr>
      <w:tr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</w:tr>
      <w:tr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  <w:tc>
          <w:tcPr>
            <w:tcW w:type="dxa" w:w="2018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0" w:color="111827"/>
          <w:left w:val="single" w:sz="0" w:color="111827"/>
          <w:bottom w:val="single" w:sz="0" w:color="111827"/>
          <w:right w:val="single" w:sz="0" w:color="111827"/>
          <w:insideH w:val="single" w:sz="0" w:color="111827"/>
          <w:insideV w:val="single" w:sz="0" w:color="111827"/>
        </w:tblBorders>
      </w:tblPr>
      <w:tblGrid>
        <w:gridCol w:w="3364"/>
        <w:gridCol w:w="3364"/>
        <w:gridCol w:w="3364"/>
      </w:tblGrid>
      <w:tr>
        <w:tc>
          <w:tcPr>
            <w:tcW w:type="dxa" w:w="198"/>
            <w:shd w:fill="111827"/>
          </w:tcPr>
          <w:p/>
        </w:tc>
        <w:tc>
          <w:tcPr>
            <w:tcW w:type="dxa" w:w="3364"/>
          </w:tcPr>
          <w:p>
            <w:r>
              <w:rPr>
                <w:b/>
                <w:sz w:val="40"/>
              </w:rPr>
              <w:t>10</w:t>
            </w:r>
          </w:p>
        </w:tc>
        <w:tc>
          <w:tcPr>
            <w:tcW w:type="dxa" w:w="3364"/>
            <w:shd w:fill="F59E0B"/>
          </w:tcPr>
          <w:p>
            <w:r>
              <w:rPr>
                <w:b/>
                <w:sz w:val="24"/>
              </w:rPr>
              <w:t>RÉCEPTION, CONFORMITÉ &amp; RÉCLAMATIONS</w:t>
            </w:r>
          </w:p>
        </w:tc>
      </w:tr>
    </w:tbl>
    <w:p/>
    <w:p>
      <w:r>
        <w:t>Vérification par le Client à réception ; réserves utiles ; signalement rapide de toute non‑conformité/vice apparent avec éléments (photos, n° commande) pour réparation/remplacement/remboursement.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0" w:color="111827"/>
          <w:left w:val="single" w:sz="0" w:color="111827"/>
          <w:bottom w:val="single" w:sz="0" w:color="111827"/>
          <w:right w:val="single" w:sz="0" w:color="111827"/>
          <w:insideH w:val="single" w:sz="0" w:color="111827"/>
          <w:insideV w:val="single" w:sz="0" w:color="111827"/>
        </w:tblBorders>
      </w:tblPr>
      <w:tblGrid>
        <w:gridCol w:w="3364"/>
        <w:gridCol w:w="3364"/>
        <w:gridCol w:w="3364"/>
      </w:tblGrid>
      <w:tr>
        <w:tc>
          <w:tcPr>
            <w:tcW w:type="dxa" w:w="198"/>
            <w:shd w:fill="111827"/>
          </w:tcPr>
          <w:p/>
        </w:tc>
        <w:tc>
          <w:tcPr>
            <w:tcW w:type="dxa" w:w="3364"/>
          </w:tcPr>
          <w:p>
            <w:r>
              <w:rPr>
                <w:b/>
                <w:sz w:val="40"/>
              </w:rPr>
              <w:t>11</w:t>
            </w:r>
          </w:p>
        </w:tc>
        <w:tc>
          <w:tcPr>
            <w:tcW w:type="dxa" w:w="3364"/>
            <w:shd w:fill="F59E0B"/>
          </w:tcPr>
          <w:p>
            <w:r>
              <w:rPr>
                <w:b/>
                <w:sz w:val="24"/>
              </w:rPr>
              <w:t>DROIT DE RÉTRACTATION (B2C)</w:t>
            </w:r>
          </w:p>
        </w:tc>
      </w:tr>
    </w:tbl>
    <w:p/>
    <w:p>
      <w:r>
        <w:t>Délai légal de **14 jours** (à compter de la réception du Produit / conclusion du service), sans motif ni pénalité, selon la loi. Exceptions : [biens personnalisés, services pleinement exécutés, etc.]. Formulaire type en Annexe.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0" w:color="111827"/>
          <w:left w:val="single" w:sz="0" w:color="111827"/>
          <w:bottom w:val="single" w:sz="0" w:color="111827"/>
          <w:right w:val="single" w:sz="0" w:color="111827"/>
          <w:insideH w:val="single" w:sz="0" w:color="111827"/>
          <w:insideV w:val="single" w:sz="0" w:color="111827"/>
        </w:tblBorders>
      </w:tblPr>
      <w:tblGrid>
        <w:gridCol w:w="3364"/>
        <w:gridCol w:w="3364"/>
        <w:gridCol w:w="3364"/>
      </w:tblGrid>
      <w:tr>
        <w:tc>
          <w:tcPr>
            <w:tcW w:type="dxa" w:w="198"/>
            <w:shd w:fill="111827"/>
          </w:tcPr>
          <w:p/>
        </w:tc>
        <w:tc>
          <w:tcPr>
            <w:tcW w:type="dxa" w:w="3364"/>
          </w:tcPr>
          <w:p>
            <w:r>
              <w:rPr>
                <w:b/>
                <w:sz w:val="40"/>
              </w:rPr>
              <w:t>12</w:t>
            </w:r>
          </w:p>
        </w:tc>
        <w:tc>
          <w:tcPr>
            <w:tcW w:type="dxa" w:w="3364"/>
            <w:shd w:fill="F59E0B"/>
          </w:tcPr>
          <w:p>
            <w:r>
              <w:rPr>
                <w:b/>
                <w:sz w:val="24"/>
              </w:rPr>
              <w:t>GARANTIES LÉGALES &amp; COMMERCIALES</w:t>
            </w:r>
          </w:p>
        </w:tc>
      </w:tr>
    </w:tbl>
    <w:p/>
    <w:p>
      <w:r>
        <w:t>Le Vendeur demeure tenu des garanties légales applicables. Les garanties commerciales (durée, exclusions, modalités) sont précisées en Annexe si proposées.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0" w:color="111827"/>
          <w:left w:val="single" w:sz="0" w:color="111827"/>
          <w:bottom w:val="single" w:sz="0" w:color="111827"/>
          <w:right w:val="single" w:sz="0" w:color="111827"/>
          <w:insideH w:val="single" w:sz="0" w:color="111827"/>
          <w:insideV w:val="single" w:sz="0" w:color="111827"/>
        </w:tblBorders>
      </w:tblPr>
      <w:tblGrid>
        <w:gridCol w:w="3364"/>
        <w:gridCol w:w="3364"/>
        <w:gridCol w:w="3364"/>
      </w:tblGrid>
      <w:tr>
        <w:tc>
          <w:tcPr>
            <w:tcW w:type="dxa" w:w="198"/>
            <w:shd w:fill="111827"/>
          </w:tcPr>
          <w:p/>
        </w:tc>
        <w:tc>
          <w:tcPr>
            <w:tcW w:type="dxa" w:w="3364"/>
          </w:tcPr>
          <w:p>
            <w:r>
              <w:rPr>
                <w:b/>
                <w:sz w:val="40"/>
              </w:rPr>
              <w:t>13</w:t>
            </w:r>
          </w:p>
        </w:tc>
        <w:tc>
          <w:tcPr>
            <w:tcW w:type="dxa" w:w="3364"/>
            <w:shd w:fill="F59E0B"/>
          </w:tcPr>
          <w:p>
            <w:r>
              <w:rPr>
                <w:b/>
                <w:sz w:val="24"/>
              </w:rPr>
              <w:t>RESPONSABILITÉ &amp; FORCE MAJEURE</w:t>
            </w:r>
          </w:p>
        </w:tc>
      </w:tr>
    </w:tbl>
    <w:p/>
    <w:p>
      <w:r>
        <w:t>Limitation aux dommages directs et prévisibles dus à un manquement prouvé. Aucune responsabilité en cas de force majeure au sens du droit applicable.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0" w:color="111827"/>
          <w:left w:val="single" w:sz="0" w:color="111827"/>
          <w:bottom w:val="single" w:sz="0" w:color="111827"/>
          <w:right w:val="single" w:sz="0" w:color="111827"/>
          <w:insideH w:val="single" w:sz="0" w:color="111827"/>
          <w:insideV w:val="single" w:sz="0" w:color="111827"/>
        </w:tblBorders>
      </w:tblPr>
      <w:tblGrid>
        <w:gridCol w:w="3364"/>
        <w:gridCol w:w="3364"/>
        <w:gridCol w:w="3364"/>
      </w:tblGrid>
      <w:tr>
        <w:tc>
          <w:tcPr>
            <w:tcW w:type="dxa" w:w="198"/>
            <w:shd w:fill="111827"/>
          </w:tcPr>
          <w:p/>
        </w:tc>
        <w:tc>
          <w:tcPr>
            <w:tcW w:type="dxa" w:w="3364"/>
          </w:tcPr>
          <w:p>
            <w:r>
              <w:rPr>
                <w:b/>
                <w:sz w:val="40"/>
              </w:rPr>
              <w:t>14</w:t>
            </w:r>
          </w:p>
        </w:tc>
        <w:tc>
          <w:tcPr>
            <w:tcW w:type="dxa" w:w="3364"/>
            <w:shd w:fill="F59E0B"/>
          </w:tcPr>
          <w:p>
            <w:r>
              <w:rPr>
                <w:b/>
                <w:sz w:val="24"/>
              </w:rPr>
              <w:t>PROPRIÉTÉ INTELLECTUELLE</w:t>
            </w:r>
          </w:p>
        </w:tc>
      </w:tr>
    </w:tbl>
    <w:p/>
    <w:p>
      <w:r>
        <w:t>Marques, logos, textes, photos : propriété du Vendeur et/ou ses partenaires. Reproduction interdite sans autorisation. Droit d’usage limité aux besoins de la commande.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0" w:color="111827"/>
          <w:left w:val="single" w:sz="0" w:color="111827"/>
          <w:bottom w:val="single" w:sz="0" w:color="111827"/>
          <w:right w:val="single" w:sz="0" w:color="111827"/>
          <w:insideH w:val="single" w:sz="0" w:color="111827"/>
          <w:insideV w:val="single" w:sz="0" w:color="111827"/>
        </w:tblBorders>
      </w:tblPr>
      <w:tblGrid>
        <w:gridCol w:w="3364"/>
        <w:gridCol w:w="3364"/>
        <w:gridCol w:w="3364"/>
      </w:tblGrid>
      <w:tr>
        <w:tc>
          <w:tcPr>
            <w:tcW w:type="dxa" w:w="198"/>
            <w:shd w:fill="111827"/>
          </w:tcPr>
          <w:p/>
        </w:tc>
        <w:tc>
          <w:tcPr>
            <w:tcW w:type="dxa" w:w="3364"/>
          </w:tcPr>
          <w:p>
            <w:r>
              <w:rPr>
                <w:b/>
                <w:sz w:val="40"/>
              </w:rPr>
              <w:t>15</w:t>
            </w:r>
          </w:p>
        </w:tc>
        <w:tc>
          <w:tcPr>
            <w:tcW w:type="dxa" w:w="3364"/>
            <w:shd w:fill="F59E0B"/>
          </w:tcPr>
          <w:p>
            <w:r>
              <w:rPr>
                <w:b/>
                <w:sz w:val="24"/>
              </w:rPr>
              <w:t>DONNÉES PERSONNELLES (RGPD) &amp; COOKIES</w:t>
            </w:r>
          </w:p>
        </w:tc>
      </w:tr>
    </w:tbl>
    <w:p/>
    <w:p>
      <w:r>
        <w:t>Traitements nécessaires à la gestion des commandes/SAV, conformément à la Politique de confidentialité (Annexe). Droits du Client : accès, rectification, opposition, effacement, limitation, selon loi applicable.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0" w:color="111827"/>
          <w:left w:val="single" w:sz="0" w:color="111827"/>
          <w:bottom w:val="single" w:sz="0" w:color="111827"/>
          <w:right w:val="single" w:sz="0" w:color="111827"/>
          <w:insideH w:val="single" w:sz="0" w:color="111827"/>
          <w:insideV w:val="single" w:sz="0" w:color="111827"/>
        </w:tblBorders>
      </w:tblPr>
      <w:tblGrid>
        <w:gridCol w:w="3364"/>
        <w:gridCol w:w="3364"/>
        <w:gridCol w:w="3364"/>
      </w:tblGrid>
      <w:tr>
        <w:tc>
          <w:tcPr>
            <w:tcW w:type="dxa" w:w="198"/>
            <w:shd w:fill="111827"/>
          </w:tcPr>
          <w:p/>
        </w:tc>
        <w:tc>
          <w:tcPr>
            <w:tcW w:type="dxa" w:w="3364"/>
          </w:tcPr>
          <w:p>
            <w:r>
              <w:rPr>
                <w:b/>
                <w:sz w:val="40"/>
              </w:rPr>
              <w:t>16</w:t>
            </w:r>
          </w:p>
        </w:tc>
        <w:tc>
          <w:tcPr>
            <w:tcW w:type="dxa" w:w="3364"/>
            <w:shd w:fill="F59E0B"/>
          </w:tcPr>
          <w:p>
            <w:r>
              <w:rPr>
                <w:b/>
                <w:sz w:val="24"/>
              </w:rPr>
              <w:t>MÉDIATION &amp; RÈGLEMENT DES LITIGES</w:t>
            </w:r>
          </w:p>
        </w:tc>
      </w:tr>
    </w:tbl>
    <w:p/>
    <w:p>
      <w:r>
        <w:t>Contact préalable du service client pour résolution amiable. Pour les Clients consommateurs (B2C), médiation de la consommation possible auprès d’un médiateur compétent.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0" w:color="111827"/>
          <w:left w:val="single" w:sz="0" w:color="111827"/>
          <w:bottom w:val="single" w:sz="0" w:color="111827"/>
          <w:right w:val="single" w:sz="0" w:color="111827"/>
          <w:insideH w:val="single" w:sz="0" w:color="111827"/>
          <w:insideV w:val="single" w:sz="0" w:color="111827"/>
        </w:tblBorders>
      </w:tblPr>
      <w:tblGrid>
        <w:gridCol w:w="3364"/>
        <w:gridCol w:w="3364"/>
        <w:gridCol w:w="3364"/>
      </w:tblGrid>
      <w:tr>
        <w:tc>
          <w:tcPr>
            <w:tcW w:type="dxa" w:w="198"/>
            <w:shd w:fill="111827"/>
          </w:tcPr>
          <w:p/>
        </w:tc>
        <w:tc>
          <w:tcPr>
            <w:tcW w:type="dxa" w:w="3364"/>
          </w:tcPr>
          <w:p>
            <w:r>
              <w:rPr>
                <w:b/>
                <w:sz w:val="40"/>
              </w:rPr>
              <w:t>17</w:t>
            </w:r>
          </w:p>
        </w:tc>
        <w:tc>
          <w:tcPr>
            <w:tcW w:type="dxa" w:w="3364"/>
            <w:shd w:fill="F59E0B"/>
          </w:tcPr>
          <w:p>
            <w:r>
              <w:rPr>
                <w:b/>
                <w:sz w:val="24"/>
              </w:rPr>
              <w:t>DROIT APPLICABLE &amp; JURIDICTION COMPÉTENTE</w:t>
            </w:r>
          </w:p>
        </w:tc>
      </w:tr>
    </w:tbl>
    <w:p/>
    <w:p>
      <w:r>
        <w:t>Droit de [Pays]. À défaut d’accord amiable, juridiction de [Ville/Pays], sous réserve des règles impératives protectrices du consommateur.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0" w:color="111827"/>
          <w:left w:val="single" w:sz="0" w:color="111827"/>
          <w:bottom w:val="single" w:sz="0" w:color="111827"/>
          <w:right w:val="single" w:sz="0" w:color="111827"/>
          <w:insideH w:val="single" w:sz="0" w:color="111827"/>
          <w:insideV w:val="single" w:sz="0" w:color="111827"/>
        </w:tblBorders>
      </w:tblPr>
      <w:tblGrid>
        <w:gridCol w:w="3364"/>
        <w:gridCol w:w="3364"/>
        <w:gridCol w:w="3364"/>
      </w:tblGrid>
      <w:tr>
        <w:tc>
          <w:tcPr>
            <w:tcW w:type="dxa" w:w="198"/>
            <w:shd w:fill="111827"/>
          </w:tcPr>
          <w:p/>
        </w:tc>
        <w:tc>
          <w:tcPr>
            <w:tcW w:type="dxa" w:w="3364"/>
          </w:tcPr>
          <w:p>
            <w:r>
              <w:rPr>
                <w:b/>
                <w:sz w:val="40"/>
              </w:rPr>
              <w:t>18</w:t>
            </w:r>
          </w:p>
        </w:tc>
        <w:tc>
          <w:tcPr>
            <w:tcW w:type="dxa" w:w="3364"/>
            <w:shd w:fill="F59E0B"/>
          </w:tcPr>
          <w:p>
            <w:r>
              <w:rPr>
                <w:b/>
                <w:sz w:val="24"/>
              </w:rPr>
              <w:t>PREUVE &amp; ARCHIVAGE</w:t>
            </w:r>
          </w:p>
        </w:tc>
      </w:tr>
    </w:tbl>
    <w:p/>
    <w:p>
      <w:r>
        <w:t>Les enregistrements électroniques (accusés, factures) font preuve des transactions. Archivage des contrats ≥ [X] € pendant [X] années dans des conditions de sécurité raisonnables.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0" w:color="111827"/>
          <w:left w:val="single" w:sz="0" w:color="111827"/>
          <w:bottom w:val="single" w:sz="0" w:color="111827"/>
          <w:right w:val="single" w:sz="0" w:color="111827"/>
          <w:insideH w:val="single" w:sz="0" w:color="111827"/>
          <w:insideV w:val="single" w:sz="0" w:color="111827"/>
        </w:tblBorders>
      </w:tblPr>
      <w:tblGrid>
        <w:gridCol w:w="3364"/>
        <w:gridCol w:w="3364"/>
        <w:gridCol w:w="3364"/>
      </w:tblGrid>
      <w:tr>
        <w:tc>
          <w:tcPr>
            <w:tcW w:type="dxa" w:w="198"/>
            <w:shd w:fill="111827"/>
          </w:tcPr>
          <w:p/>
        </w:tc>
        <w:tc>
          <w:tcPr>
            <w:tcW w:type="dxa" w:w="3364"/>
          </w:tcPr>
          <w:p>
            <w:r>
              <w:rPr>
                <w:b/>
                <w:sz w:val="40"/>
              </w:rPr>
              <w:t>19</w:t>
            </w:r>
          </w:p>
        </w:tc>
        <w:tc>
          <w:tcPr>
            <w:tcW w:type="dxa" w:w="3364"/>
            <w:shd w:fill="F59E0B"/>
          </w:tcPr>
          <w:p>
            <w:r>
              <w:rPr>
                <w:b/>
                <w:sz w:val="24"/>
              </w:rPr>
              <w:t>MODIFICATION DES CGV</w:t>
            </w:r>
          </w:p>
        </w:tc>
      </w:tr>
    </w:tbl>
    <w:p/>
    <w:p>
      <w:r>
        <w:t>Modifications possibles pour les commandes futures. Version applicable : celle en vigueur au jour de la commande.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0" w:color="111827"/>
          <w:left w:val="single" w:sz="0" w:color="111827"/>
          <w:bottom w:val="single" w:sz="0" w:color="111827"/>
          <w:right w:val="single" w:sz="0" w:color="111827"/>
          <w:insideH w:val="single" w:sz="0" w:color="111827"/>
          <w:insideV w:val="single" w:sz="0" w:color="111827"/>
        </w:tblBorders>
      </w:tblPr>
      <w:tblGrid>
        <w:gridCol w:w="3364"/>
        <w:gridCol w:w="3364"/>
        <w:gridCol w:w="3364"/>
      </w:tblGrid>
      <w:tr>
        <w:tc>
          <w:tcPr>
            <w:tcW w:type="dxa" w:w="198"/>
            <w:shd w:fill="111827"/>
          </w:tcPr>
          <w:p/>
        </w:tc>
        <w:tc>
          <w:tcPr>
            <w:tcW w:type="dxa" w:w="3364"/>
          </w:tcPr>
          <w:p>
            <w:r>
              <w:rPr>
                <w:b/>
                <w:sz w:val="40"/>
              </w:rPr>
              <w:t>20</w:t>
            </w:r>
          </w:p>
        </w:tc>
        <w:tc>
          <w:tcPr>
            <w:tcW w:type="dxa" w:w="3364"/>
            <w:shd w:fill="F59E0B"/>
          </w:tcPr>
          <w:p>
            <w:r>
              <w:rPr>
                <w:b/>
                <w:sz w:val="24"/>
              </w:rPr>
              <w:t>NULLITÉ PARTIELLE</w:t>
            </w:r>
          </w:p>
        </w:tc>
      </w:tr>
    </w:tbl>
    <w:p/>
    <w:p>
      <w:r>
        <w:t>La nullité d’une clause n’affecte pas la validité des autres. Remplacement par une clause d’effet équivalent conforme au droit applicable.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0" w:color="111827"/>
          <w:left w:val="single" w:sz="0" w:color="111827"/>
          <w:bottom w:val="single" w:sz="0" w:color="111827"/>
          <w:right w:val="single" w:sz="0" w:color="111827"/>
          <w:insideH w:val="single" w:sz="0" w:color="111827"/>
          <w:insideV w:val="single" w:sz="0" w:color="111827"/>
        </w:tblBorders>
      </w:tblPr>
      <w:tblGrid>
        <w:gridCol w:w="3364"/>
        <w:gridCol w:w="3364"/>
        <w:gridCol w:w="3364"/>
      </w:tblGrid>
      <w:tr>
        <w:tc>
          <w:tcPr>
            <w:tcW w:type="dxa" w:w="198"/>
            <w:shd w:fill="111827"/>
          </w:tcPr>
          <w:p/>
        </w:tc>
        <w:tc>
          <w:tcPr>
            <w:tcW w:type="dxa" w:w="3364"/>
          </w:tcPr>
          <w:p>
            <w:r>
              <w:rPr>
                <w:b/>
                <w:sz w:val="40"/>
              </w:rPr>
              <w:t>21</w:t>
            </w:r>
          </w:p>
        </w:tc>
        <w:tc>
          <w:tcPr>
            <w:tcW w:type="dxa" w:w="3364"/>
            <w:shd w:fill="F59E0B"/>
          </w:tcPr>
          <w:p>
            <w:r>
              <w:rPr>
                <w:b/>
                <w:sz w:val="24"/>
              </w:rPr>
              <w:t>TABLEAUX PRATIQUES (À COMPLÉTER)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2" w:color="111827"/>
          <w:left w:val="single" w:sz="12" w:color="111827"/>
          <w:bottom w:val="single" w:sz="12" w:color="111827"/>
          <w:right w:val="single" w:sz="12" w:color="111827"/>
          <w:insideH w:val="single" w:sz="12" w:color="111827"/>
          <w:insideV w:val="single" w:sz="12" w:color="111827"/>
        </w:tblBorders>
      </w:tblPr>
      <w:tblGrid>
        <w:gridCol w:w="2523"/>
        <w:gridCol w:w="2523"/>
        <w:gridCol w:w="2523"/>
        <w:gridCol w:w="2523"/>
      </w:tblGrid>
      <w:tr>
        <w:tc>
          <w:tcPr>
            <w:tcW w:type="dxa" w:w="2523"/>
            <w:shd w:fill="FDE68A"/>
          </w:tcPr>
          <w:p>
            <w:r>
              <w:rPr>
                <w:b/>
              </w:rPr>
              <w:t>Mode de paiement</w:t>
            </w:r>
          </w:p>
        </w:tc>
        <w:tc>
          <w:tcPr>
            <w:tcW w:type="dxa" w:w="2523"/>
            <w:shd w:fill="FDE68A"/>
          </w:tcPr>
          <w:p>
            <w:r>
              <w:rPr>
                <w:b/>
              </w:rPr>
              <w:t>Échéance</w:t>
            </w:r>
          </w:p>
        </w:tc>
        <w:tc>
          <w:tcPr>
            <w:tcW w:type="dxa" w:w="2523"/>
            <w:shd w:fill="FDE68A"/>
          </w:tcPr>
          <w:p>
            <w:r>
              <w:rPr>
                <w:b/>
              </w:rPr>
              <w:t>Frais</w:t>
            </w:r>
          </w:p>
        </w:tc>
        <w:tc>
          <w:tcPr>
            <w:tcW w:type="dxa" w:w="2523"/>
            <w:shd w:fill="FDE68A"/>
          </w:tcPr>
          <w:p>
            <w:r>
              <w:rPr>
                <w:b/>
              </w:rPr>
              <w:t>Conditions</w:t>
            </w:r>
          </w:p>
        </w:tc>
      </w:tr>
      <w:tr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</w:tr>
      <w:tr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</w:tr>
      <w:tr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</w:tr>
      <w:tr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2" w:color="111827"/>
          <w:left w:val="single" w:sz="12" w:color="111827"/>
          <w:bottom w:val="single" w:sz="12" w:color="111827"/>
          <w:right w:val="single" w:sz="12" w:color="111827"/>
          <w:insideH w:val="single" w:sz="12" w:color="111827"/>
          <w:insideV w:val="single" w:sz="12" w:color="111827"/>
        </w:tblBorders>
      </w:tblPr>
      <w:tblGrid>
        <w:gridCol w:w="2523"/>
        <w:gridCol w:w="2523"/>
        <w:gridCol w:w="2523"/>
        <w:gridCol w:w="2523"/>
      </w:tblGrid>
      <w:tr>
        <w:tc>
          <w:tcPr>
            <w:tcW w:type="dxa" w:w="2523"/>
            <w:shd w:fill="FDE68A"/>
          </w:tcPr>
          <w:p>
            <w:r>
              <w:rPr>
                <w:b/>
              </w:rPr>
              <w:t>Type de service</w:t>
            </w:r>
          </w:p>
        </w:tc>
        <w:tc>
          <w:tcPr>
            <w:tcW w:type="dxa" w:w="2523"/>
            <w:shd w:fill="FDE68A"/>
          </w:tcPr>
          <w:p>
            <w:r>
              <w:rPr>
                <w:b/>
              </w:rPr>
              <w:t>Délai d’exécution</w:t>
            </w:r>
          </w:p>
        </w:tc>
        <w:tc>
          <w:tcPr>
            <w:tcW w:type="dxa" w:w="2523"/>
            <w:shd w:fill="FDE68A"/>
          </w:tcPr>
          <w:p>
            <w:r>
              <w:rPr>
                <w:b/>
              </w:rPr>
              <w:t>Livrables</w:t>
            </w:r>
          </w:p>
        </w:tc>
        <w:tc>
          <w:tcPr>
            <w:tcW w:type="dxa" w:w="2523"/>
            <w:shd w:fill="FDE68A"/>
          </w:tcPr>
          <w:p>
            <w:r>
              <w:rPr>
                <w:b/>
              </w:rPr>
              <w:t>Niveau de service (SLA)</w:t>
            </w:r>
          </w:p>
        </w:tc>
      </w:tr>
      <w:tr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</w:tr>
      <w:tr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</w:tr>
      <w:tr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</w:tr>
      <w:tr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  <w:tc>
          <w:tcPr>
            <w:tcW w:type="dxa" w:w="2523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0" w:color="111827"/>
          <w:left w:val="single" w:sz="0" w:color="111827"/>
          <w:bottom w:val="single" w:sz="0" w:color="111827"/>
          <w:right w:val="single" w:sz="0" w:color="111827"/>
          <w:insideH w:val="single" w:sz="0" w:color="111827"/>
          <w:insideV w:val="single" w:sz="0" w:color="111827"/>
        </w:tblBorders>
      </w:tblPr>
      <w:tblGrid>
        <w:gridCol w:w="3364"/>
        <w:gridCol w:w="3364"/>
        <w:gridCol w:w="3364"/>
      </w:tblGrid>
      <w:tr>
        <w:tc>
          <w:tcPr>
            <w:tcW w:type="dxa" w:w="198"/>
            <w:shd w:fill="111827"/>
          </w:tcPr>
          <w:p/>
        </w:tc>
        <w:tc>
          <w:tcPr>
            <w:tcW w:type="dxa" w:w="3364"/>
          </w:tcPr>
          <w:p>
            <w:r>
              <w:rPr>
                <w:b/>
                <w:sz w:val="40"/>
              </w:rPr>
              <w:t>22</w:t>
            </w:r>
          </w:p>
        </w:tc>
        <w:tc>
          <w:tcPr>
            <w:tcW w:type="dxa" w:w="3364"/>
            <w:shd w:fill="F59E0B"/>
          </w:tcPr>
          <w:p>
            <w:r>
              <w:rPr>
                <w:b/>
                <w:sz w:val="24"/>
              </w:rPr>
              <w:t>ANNEXES</w:t>
            </w:r>
          </w:p>
        </w:tc>
      </w:tr>
    </w:tbl>
    <w:p/>
    <w:p>
      <w:r>
        <w:t>Annexe 1 — Formulaire de rétractation (B2C)</w:t>
      </w:r>
    </w:p>
    <w:p>
      <w:r>
        <w:t>Annexe 2 — Garantie commerciale (si proposée)</w:t>
      </w:r>
    </w:p>
    <w:p>
      <w:r>
        <w:t>Annexe 3 — Politique de confidentialité &amp; cookies</w:t>
      </w:r>
    </w:p>
    <w:p>
      <w:r>
        <w:t>Annexe 4 — Barème des frais &amp; pénalités (si applicable)</w:t>
      </w:r>
    </w:p>
    <w:p>
      <w:r>
        <w:t>Annexe 5 — Coordonnées du médiateur (B2C)</w:t>
      </w:r>
    </w:p>
    <w:sectPr w:rsidR="00FC693F" w:rsidRPr="0006063C" w:rsidSect="00034616">
      <w:footerReference w:type="default" r:id="rId9"/>
      <w:pgSz w:w="11906" w:h="16838"/>
      <w:pgMar w:top="850" w:right="907" w:bottom="850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E6E6E"/>
        <w:sz w:val="16"/>
      </w:rPr>
      <w:t>lecoursgratuit.com — CGV — Conception Noir &amp; Or — Modèle Word gratuit (A4, 2025) — À adapter à votre activité et juridiction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