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Borders>
          <w:top w:val="single" w:sz="0" w:color="0C4A6E"/>
          <w:left w:val="single" w:sz="0" w:color="0C4A6E"/>
          <w:bottom w:val="single" w:sz="0" w:color="0C4A6E"/>
          <w:right w:val="single" w:sz="0" w:color="0C4A6E"/>
          <w:insideH w:val="single" w:sz="0" w:color="0C4A6E"/>
          <w:insideV w:val="single" w:sz="0" w:color="0C4A6E"/>
        </w:tblBorders>
      </w:tblPr>
      <w:tblGrid>
        <w:gridCol w:w="4933"/>
        <w:gridCol w:w="4933"/>
      </w:tblGrid>
      <w:tr>
        <w:tc>
          <w:tcPr>
            <w:tcW w:type="dxa" w:w="510"/>
            <w:shd w:fill="0EA5E9"/>
          </w:tcPr>
          <w:p/>
        </w:tc>
        <w:tc>
          <w:tcPr>
            <w:tcW w:type="dxa" w:w="4933"/>
          </w:tcPr>
          <w:p>
            <w:r>
              <w:rPr>
                <w:b/>
                <w:sz w:val="36"/>
              </w:rPr>
              <w:t>CONDITIONS GÉNÉRALES DE VENTE (CGV) — Modèle gratuit (A4)</w:t>
            </w:r>
          </w:p>
          <w:p>
            <w:r>
              <w:rPr>
                <w:color w:val="5A5A5A"/>
                <w:sz w:val="20"/>
              </w:rPr>
              <w:t>Vendeur • Prix • Commande • Paiement • Livraison • Rétractation • Garanties • Données • Litiges — Bleu corporate</w:t>
            </w:r>
          </w:p>
        </w:tc>
      </w:tr>
    </w:tbl>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AVERTISSEMENT (Modèle indicatif)</w:t>
            </w:r>
          </w:p>
        </w:tc>
      </w:tr>
    </w:tbl>
    <w:p/>
    <w:p>
      <w:r>
        <w:t>Ce document est un **modèle** destiné à être adapté à votre activité (B2C/B2B, produits/services, pays). Il ne constitue pas un conseil juridique. Faites relire la version finale par un conseil si nécessaire.</w:t>
      </w:r>
    </w:p>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RÉSUMÉ DES CONDITIONS ESSENTIELLES (à compléter)</w:t>
            </w:r>
          </w:p>
        </w:tc>
      </w:tr>
    </w:tbl>
    <w:p/>
    <w:tbl>
      <w:tblPr>
        <w:tblW w:type="auto" w:w="0"/>
        <w:tblLook w:firstColumn="1" w:firstRow="1" w:lastColumn="0" w:lastRow="0" w:noHBand="0" w:noVBand="1" w:val="04A0"/>
        <w:tblBorders>
          <w:top w:val="single" w:sz="8" w:color="0C4A6E"/>
          <w:left w:val="single" w:sz="8" w:color="0C4A6E"/>
          <w:bottom w:val="single" w:sz="8" w:color="0C4A6E"/>
          <w:right w:val="single" w:sz="8" w:color="0C4A6E"/>
          <w:insideH w:val="single" w:sz="8" w:color="0C4A6E"/>
          <w:insideV w:val="single" w:sz="8" w:color="0C4A6E"/>
        </w:tblBorders>
      </w:tblPr>
      <w:tblGrid>
        <w:gridCol w:w="4933"/>
        <w:gridCol w:w="4933"/>
      </w:tblGrid>
      <w:tr>
        <w:tc>
          <w:tcPr>
            <w:tcW w:type="dxa" w:w="4933"/>
            <w:shd w:fill="E0F2FE"/>
            <w:vAlign w:val="center"/>
          </w:tcPr>
          <w:p>
            <w:r>
              <w:t>Vendeur (dénomination / forme / ID / adresse)</w:t>
            </w:r>
          </w:p>
        </w:tc>
        <w:tc>
          <w:tcPr>
            <w:tcW w:type="dxa" w:w="4933"/>
            <w:vAlign w:val="center"/>
          </w:tcPr>
          <w:p>
            <w:r/>
          </w:p>
        </w:tc>
      </w:tr>
      <w:tr>
        <w:tc>
          <w:tcPr>
            <w:tcW w:type="dxa" w:w="4933"/>
            <w:shd w:fill="E0F2FE"/>
            <w:vAlign w:val="center"/>
          </w:tcPr>
          <w:p>
            <w:r>
              <w:t>SIREN/SIRET – TVA intracom</w:t>
            </w:r>
          </w:p>
        </w:tc>
        <w:tc>
          <w:tcPr>
            <w:tcW w:type="dxa" w:w="4933"/>
            <w:vAlign w:val="center"/>
          </w:tcPr>
          <w:p>
            <w:r/>
          </w:p>
        </w:tc>
      </w:tr>
      <w:tr>
        <w:tc>
          <w:tcPr>
            <w:tcW w:type="dxa" w:w="4933"/>
            <w:shd w:fill="E0F2FE"/>
            <w:vAlign w:val="center"/>
          </w:tcPr>
          <w:p>
            <w:r>
              <w:t>Contact service client</w:t>
            </w:r>
          </w:p>
        </w:tc>
        <w:tc>
          <w:tcPr>
            <w:tcW w:type="dxa" w:w="4933"/>
            <w:vAlign w:val="center"/>
          </w:tcPr>
          <w:p>
            <w:r>
              <w:t>[e‑mail] – [téléphone] – [plages horaires]</w:t>
            </w:r>
          </w:p>
        </w:tc>
      </w:tr>
      <w:tr>
        <w:tc>
          <w:tcPr>
            <w:tcW w:type="dxa" w:w="4933"/>
            <w:shd w:fill="E0F2FE"/>
            <w:vAlign w:val="center"/>
          </w:tcPr>
          <w:p>
            <w:r>
              <w:t>Champ d’application</w:t>
            </w:r>
          </w:p>
        </w:tc>
        <w:tc>
          <w:tcPr>
            <w:tcW w:type="dxa" w:w="4933"/>
            <w:vAlign w:val="center"/>
          </w:tcPr>
          <w:p>
            <w:r>
              <w:t>[B2C / B2B / les deux] ; [territoires] ; [langue]</w:t>
            </w:r>
          </w:p>
        </w:tc>
      </w:tr>
      <w:tr>
        <w:tc>
          <w:tcPr>
            <w:tcW w:type="dxa" w:w="4933"/>
            <w:shd w:fill="E0F2FE"/>
            <w:vAlign w:val="center"/>
          </w:tcPr>
          <w:p>
            <w:r>
              <w:t>Devise &amp; taxes</w:t>
            </w:r>
          </w:p>
        </w:tc>
        <w:tc>
          <w:tcPr>
            <w:tcW w:type="dxa" w:w="4933"/>
            <w:vAlign w:val="center"/>
          </w:tcPr>
          <w:p>
            <w:r>
              <w:t>[EUR] ; prix [HT/TTC] ; TVA selon lois applicables</w:t>
            </w:r>
          </w:p>
        </w:tc>
      </w:tr>
      <w:tr>
        <w:tc>
          <w:tcPr>
            <w:tcW w:type="dxa" w:w="4933"/>
            <w:shd w:fill="E0F2FE"/>
            <w:vAlign w:val="center"/>
          </w:tcPr>
          <w:p>
            <w:r>
              <w:t>Médiateur de la consommation (B2C)</w:t>
            </w:r>
          </w:p>
        </w:tc>
        <w:tc>
          <w:tcPr>
            <w:tcW w:type="dxa" w:w="4933"/>
            <w:vAlign w:val="center"/>
          </w:tcPr>
          <w:p>
            <w:r>
              <w:t>[Nom/coordonnées] (si applicable)</w:t>
            </w:r>
          </w:p>
        </w:tc>
      </w:tr>
      <w:tr>
        <w:tc>
          <w:tcPr>
            <w:tcW w:type="dxa" w:w="4933"/>
            <w:shd w:fill="E0F2FE"/>
            <w:vAlign w:val="center"/>
          </w:tcPr>
          <w:p>
            <w:r>
              <w:t>Date d’entrée en vigueur</w:t>
            </w:r>
          </w:p>
        </w:tc>
        <w:tc>
          <w:tcPr>
            <w:tcW w:type="dxa" w:w="4933"/>
            <w:vAlign w:val="center"/>
          </w:tcPr>
          <w:p>
            <w:r>
              <w:t>[JJ/MM/AAAA]</w:t>
            </w:r>
          </w:p>
        </w:tc>
      </w:tr>
    </w:tbl>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 OBJET &amp; CHAMP D’APPLICATION</w:t>
            </w:r>
          </w:p>
        </w:tc>
      </w:tr>
    </w:tbl>
    <w:p/>
    <w:p>
      <w:r>
        <w:t>Les présentes CGV régissent les ventes de [Produits/Services] réalisées par le Vendeur auprès de [Clients consommateurs et/ou professionnels], sur le site [URL] et/ou par tout autre canal accepté, pour les territoires mentionnés au Résumé.</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2) INFORMATIONS PRÉCONTRACTUELLES (B2C, si applicable)</w:t>
            </w:r>
          </w:p>
        </w:tc>
      </w:tr>
    </w:tbl>
    <w:p/>
    <w:p>
      <w:r>
        <w:t>Le Vendeur communique de manière lisible et compréhensible les caractéristiques essentielles des Produits/Services, le prix, les frais, les modalités de paiement/livraison/exécution, ainsi que l’existence des garanties et du droit de rétractation lorsque applicable.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3) PRODUITS &amp; DISPONIBILITÉ</w:t>
            </w:r>
          </w:p>
        </w:tc>
      </w:tr>
    </w:tbl>
    <w:p/>
    <w:p>
      <w:r>
        <w:t>Les descriptions, visuels et dimensions sont indicatifs. La disponibilité est affichée à titre informatif ; en cas d’indisponibilité après commande, le Client est informé et remboursé ou une alternative est proposée.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4) PRIX, DEVISE &amp; RÉVISIONS</w:t>
            </w:r>
          </w:p>
        </w:tc>
      </w:tr>
    </w:tbl>
    <w:p/>
    <w:p>
      <w:r>
        <w:t>Les prix sont indiqués en [EUR] et en [HT/TTC]. Le Vendeur peut réviser ses tarifs à tout moment pour les commandes futures. En cas d’erreur manifeste de prix, la commande peut être annulée et remboursée.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5) COMMANDE &amp; ACCEPTATION</w:t>
            </w:r>
          </w:p>
        </w:tc>
      </w:tr>
    </w:tbl>
    <w:p/>
    <w:p>
      <w:r>
        <w:t>Le processus de commande comprend : sélection, récapitulatif, acceptation des CGV, paiement. Le Vendeur se réserve le droit de refuser toute commande anormale, frauduleuse ou pour motif légitime (ex. impayé antérieur). La commande est ferme après confirmation écrite.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6) PAIEMENT, ÉCHÉANCES &amp; SÉCURISATION</w:t>
            </w:r>
          </w:p>
        </w:tc>
      </w:tr>
    </w:tbl>
    <w:p/>
    <w:p>
      <w:r>
        <w:t>Modes acceptés : [CB / virement / prélèvement / chèque / autres]. Les paiements sont exigibles à la commande sauf conditions dérogatoires indiquées au devis. En cas de retard de paiement (B2B), des pénalités s’appliquent à compter du jour suivant l’échéance, ainsi qu’une indemnité forfaitaire de recouvrement si applicable.</w:t>
      </w:r>
    </w:p>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7) CLAUSE DE RÉSERVE DE PROPRIÉTÉ</w:t>
            </w:r>
          </w:p>
        </w:tc>
      </w:tr>
    </w:tbl>
    <w:p/>
    <w:p>
      <w:r>
        <w:t>Le Vendeur conserve la propriété des Produits jusqu’au paiement intégral du prix. Les risques (perte, détérioration) sont transférés à la livraison selon l’Incoterm ou les règles convenues.</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8) LIVRAISON / EXÉCUTION</w:t>
            </w:r>
          </w:p>
        </w:tc>
      </w:tr>
    </w:tbl>
    <w:p/>
    <w:p>
      <w:r>
        <w:t>Délais indicatifs : [X] jours ouvrés. Frais : voir tableau ci‑dessous. Livraison au point indiqué par le Client. Pour les services, l’exécution intervient aux dates convenues. Les retards raisonnables ne sauraient ouvrir droit à indemnisation si dûs à une cause extérieure.</w:t>
      </w:r>
    </w:p>
    <w:tbl>
      <w:tblPr>
        <w:tblW w:type="auto" w:w="0"/>
        <w:tblLook w:firstColumn="1" w:firstRow="1" w:lastColumn="0" w:lastRow="0" w:noHBand="0" w:noVBand="1" w:val="04A0"/>
        <w:tblBorders>
          <w:top w:val="single" w:sz="8" w:color="0C4A6E"/>
          <w:left w:val="single" w:sz="8" w:color="0C4A6E"/>
          <w:bottom w:val="single" w:sz="8" w:color="0C4A6E"/>
          <w:right w:val="single" w:sz="8" w:color="0C4A6E"/>
          <w:insideH w:val="single" w:sz="8" w:color="0C4A6E"/>
          <w:insideV w:val="single" w:sz="8" w:color="0C4A6E"/>
        </w:tblBorders>
      </w:tblPr>
      <w:tblGrid>
        <w:gridCol w:w="1973"/>
        <w:gridCol w:w="1973"/>
        <w:gridCol w:w="1973"/>
        <w:gridCol w:w="1973"/>
        <w:gridCol w:w="1973"/>
      </w:tblGrid>
      <w:tr>
        <w:tc>
          <w:tcPr>
            <w:tcW w:type="dxa" w:w="1973"/>
            <w:shd w:fill="E0F2FE"/>
          </w:tcPr>
          <w:p>
            <w:r>
              <w:rPr>
                <w:b/>
              </w:rPr>
              <w:t>Zone</w:t>
            </w:r>
          </w:p>
        </w:tc>
        <w:tc>
          <w:tcPr>
            <w:tcW w:type="dxa" w:w="1973"/>
            <w:shd w:fill="E0F2FE"/>
          </w:tcPr>
          <w:p>
            <w:r>
              <w:rPr>
                <w:b/>
              </w:rPr>
              <w:t>Transporteur/Mode</w:t>
            </w:r>
          </w:p>
        </w:tc>
        <w:tc>
          <w:tcPr>
            <w:tcW w:type="dxa" w:w="1973"/>
            <w:shd w:fill="E0F2FE"/>
          </w:tcPr>
          <w:p>
            <w:r>
              <w:rPr>
                <w:b/>
              </w:rPr>
              <w:t>Délais indicatifs</w:t>
            </w:r>
          </w:p>
        </w:tc>
        <w:tc>
          <w:tcPr>
            <w:tcW w:type="dxa" w:w="1973"/>
            <w:shd w:fill="E0F2FE"/>
          </w:tcPr>
          <w:p>
            <w:r>
              <w:rPr>
                <w:b/>
              </w:rPr>
              <w:t>Frais</w:t>
            </w:r>
          </w:p>
        </w:tc>
        <w:tc>
          <w:tcPr>
            <w:tcW w:type="dxa" w:w="1973"/>
            <w:shd w:fill="E0F2FE"/>
          </w:tcPr>
          <w:p>
            <w:r>
              <w:rPr>
                <w:b/>
              </w:rPr>
              <w:t>Commentaires</w:t>
            </w:r>
          </w:p>
        </w:tc>
      </w:tr>
      <w:tr>
        <w:tc>
          <w:tcPr>
            <w:tcW w:type="dxa" w:w="1973"/>
          </w:tcPr>
          <w:p/>
        </w:tc>
        <w:tc>
          <w:tcPr>
            <w:tcW w:type="dxa" w:w="1973"/>
          </w:tcPr>
          <w:p/>
        </w:tc>
        <w:tc>
          <w:tcPr>
            <w:tcW w:type="dxa" w:w="1973"/>
          </w:tcPr>
          <w:p/>
        </w:tc>
        <w:tc>
          <w:tcPr>
            <w:tcW w:type="dxa" w:w="1973"/>
          </w:tcPr>
          <w:p/>
        </w:tc>
        <w:tc>
          <w:tcPr>
            <w:tcW w:type="dxa" w:w="1973"/>
          </w:tcPr>
          <w:p/>
        </w:tc>
      </w:tr>
      <w:tr>
        <w:tc>
          <w:tcPr>
            <w:tcW w:type="dxa" w:w="1973"/>
          </w:tcPr>
          <w:p/>
        </w:tc>
        <w:tc>
          <w:tcPr>
            <w:tcW w:type="dxa" w:w="1973"/>
          </w:tcPr>
          <w:p/>
        </w:tc>
        <w:tc>
          <w:tcPr>
            <w:tcW w:type="dxa" w:w="1973"/>
          </w:tcPr>
          <w:p/>
        </w:tc>
        <w:tc>
          <w:tcPr>
            <w:tcW w:type="dxa" w:w="1973"/>
          </w:tcPr>
          <w:p/>
        </w:tc>
        <w:tc>
          <w:tcPr>
            <w:tcW w:type="dxa" w:w="1973"/>
          </w:tcPr>
          <w:p/>
        </w:tc>
      </w:tr>
      <w:tr>
        <w:tc>
          <w:tcPr>
            <w:tcW w:type="dxa" w:w="1973"/>
          </w:tcPr>
          <w:p/>
        </w:tc>
        <w:tc>
          <w:tcPr>
            <w:tcW w:type="dxa" w:w="1973"/>
          </w:tcPr>
          <w:p/>
        </w:tc>
        <w:tc>
          <w:tcPr>
            <w:tcW w:type="dxa" w:w="1973"/>
          </w:tcPr>
          <w:p/>
        </w:tc>
        <w:tc>
          <w:tcPr>
            <w:tcW w:type="dxa" w:w="1973"/>
          </w:tcPr>
          <w:p/>
        </w:tc>
        <w:tc>
          <w:tcPr>
            <w:tcW w:type="dxa" w:w="1973"/>
          </w:tcPr>
          <w:p/>
        </w:tc>
      </w:tr>
      <w:tr>
        <w:tc>
          <w:tcPr>
            <w:tcW w:type="dxa" w:w="1973"/>
          </w:tcPr>
          <w:p/>
        </w:tc>
        <w:tc>
          <w:tcPr>
            <w:tcW w:type="dxa" w:w="1973"/>
          </w:tcPr>
          <w:p/>
        </w:tc>
        <w:tc>
          <w:tcPr>
            <w:tcW w:type="dxa" w:w="1973"/>
          </w:tcPr>
          <w:p/>
        </w:tc>
        <w:tc>
          <w:tcPr>
            <w:tcW w:type="dxa" w:w="1973"/>
          </w:tcPr>
          <w:p/>
        </w:tc>
        <w:tc>
          <w:tcPr>
            <w:tcW w:type="dxa" w:w="1973"/>
          </w:tcPr>
          <w:p/>
        </w:tc>
      </w:tr>
    </w:tbl>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9) RÉCEPTION, CONFORMITÉ &amp; RÉCLAMATIONS</w:t>
            </w:r>
          </w:p>
        </w:tc>
      </w:tr>
    </w:tbl>
    <w:p/>
    <w:p>
      <w:r>
        <w:t>Le Client vérifie l’état des Produits à réception et émet les réserves utiles. Toute non‑conformité ou défaut apparent doit être signalé sans délai, avec photos/éléments à l’appui, pour traitement (réparation, remplacement ou remboursement).</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10) DROIT DE RÉTRACTATION (B2C, si applicable)</w:t>
            </w:r>
          </w:p>
        </w:tc>
      </w:tr>
    </w:tbl>
    <w:p/>
    <w:p>
      <w:r>
        <w:t>Le Client consommateur dispose d’un délai de **14 jours** à compter de la réception du Produit (ou de la conclusion du contrat de service) pour exercer son droit de rétractation, sans motif ni pénalité, dans les conditions prévues par la loi. Exceptions : [biens personnalisés, services pleinement exécutés, etc.]. Un formulaire type est proposé en Annexe.</w:t>
      </w:r>
    </w:p>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11) GARANTIES LÉGALES &amp; COMMERCIALES</w:t>
            </w:r>
          </w:p>
        </w:tc>
      </w:tr>
    </w:tbl>
    <w:p/>
    <w:p>
      <w:r>
        <w:t>Indépendamment de toute garantie commerciale, le Vendeur reste tenu des garanties légales applicables. Le cas échéant, les modalités et durée de la garantie commerciale (pièces, main‑d’œuvre, exclusions) sont précisées à l’Annexe correspondante.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12) RESPONSABILITÉ &amp; FORCE MAJEURE</w:t>
            </w:r>
          </w:p>
        </w:tc>
      </w:tr>
    </w:tbl>
    <w:p/>
    <w:p>
      <w:r>
        <w:t>La responsabilité du Vendeur est limitée aux dommages directs et prévisibles résultant d’un manquement prouvé à ses obligations. Aucune partie n’est responsable d’un retard ou d’un manquement dû à un événement de force majeure au sens du droit applicable.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13) PROPRIÉTÉ INTELLECTUELLE</w:t>
            </w:r>
          </w:p>
        </w:tc>
      </w:tr>
    </w:tbl>
    <w:p/>
    <w:p>
      <w:r>
        <w:t>Les marques, logos, textes, photos et contenus demeurent la propriété du Vendeur et/ou de ses partenaires. Toute reproduction non autorisée est interdite. Le Client bénéficie d’un droit d’usage limité aux besoins de la commande.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14) DONNÉES PERSONNELLES (RGPD) &amp; COOKIES</w:t>
            </w:r>
          </w:p>
        </w:tc>
      </w:tr>
    </w:tbl>
    <w:p/>
    <w:p>
      <w:r>
        <w:t>Le Vendeur traite les données du Client pour la gestion des commandes et le service après‑vente, conformément à sa Politique de confidentialité (Annexe). Le Client dispose de droits d’accès, de rectification, d’opposition, d’effacement et de limitation, selon la loi applicable.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15) MÉDIATION &amp; RÈGLEMENT DES LITIGES</w:t>
            </w:r>
          </w:p>
        </w:tc>
      </w:tr>
    </w:tbl>
    <w:p/>
    <w:p>
      <w:r>
        <w:t>En cas de litige, le Client contacte d’abord le service client pour une résolution amiable. Pour les Clients consommateurs (B2C), recours possible à un médiateur de la consommation compétent.</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16) DROIT APPLICABLE &amp; JURIDICTION COMPÉTENTE</w:t>
            </w:r>
          </w:p>
        </w:tc>
      </w:tr>
    </w:tbl>
    <w:p/>
    <w:p>
      <w:r>
        <w:t>Les présentes CGV sont soumises au droit de [Pays]. À défaut d’accord amiable, les tribunaux de [Ville/Pays] seront compétents, sous réserve des dispositions impératives applicables au Client consommateur.</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17) PREUVE &amp; ARCHIVAGE</w:t>
            </w:r>
          </w:p>
        </w:tc>
      </w:tr>
    </w:tbl>
    <w:p/>
    <w:p>
      <w:r>
        <w:t>Les enregistrements électroniques, accusés et factures archivés par le Vendeur constituent des preuves des communications et transactions. La durée d’archivage des contrats d’une valeur ≥ [X] € est de [X] années dans des conditions de sécurité raisonnables.</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18) MODIFICATION DES CGV</w:t>
            </w:r>
          </w:p>
        </w:tc>
      </w:tr>
    </w:tbl>
    <w:p/>
    <w:p>
      <w:r>
        <w:t>Le Vendeur peut modifier les CGV à tout moment pour les commandes futures. La version applicable est celle en vigueur au jour de la commande.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19) NULLITÉ PARTIELLE</w:t>
            </w:r>
          </w:p>
        </w:tc>
      </w:tr>
    </w:tbl>
    <w:p/>
    <w:p>
      <w:r>
        <w:t>Si une clause est jugée nulle, les autres demeurent en vigueur. Elle sera remplacée par une clause d’effet équivalent conforme au droit applicable.</w:t>
      </w:r>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TABLEAUX PRATIQUES (exemples à compléter)</w:t>
            </w:r>
          </w:p>
        </w:tc>
      </w:tr>
    </w:tbl>
    <w:p/>
    <w:tbl>
      <w:tblPr>
        <w:tblW w:type="auto" w:w="0"/>
        <w:tblLook w:firstColumn="1" w:firstRow="1" w:lastColumn="0" w:lastRow="0" w:noHBand="0" w:noVBand="1" w:val="04A0"/>
        <w:tblBorders>
          <w:top w:val="single" w:sz="8" w:color="0C4A6E"/>
          <w:left w:val="single" w:sz="8" w:color="0C4A6E"/>
          <w:bottom w:val="single" w:sz="8" w:color="0C4A6E"/>
          <w:right w:val="single" w:sz="8" w:color="0C4A6E"/>
          <w:insideH w:val="single" w:sz="8" w:color="0C4A6E"/>
          <w:insideV w:val="single" w:sz="8" w:color="0C4A6E"/>
        </w:tblBorders>
      </w:tblPr>
      <w:tblGrid>
        <w:gridCol w:w="2466"/>
        <w:gridCol w:w="2466"/>
        <w:gridCol w:w="2466"/>
        <w:gridCol w:w="2466"/>
      </w:tblGrid>
      <w:tr>
        <w:tc>
          <w:tcPr>
            <w:tcW w:type="dxa" w:w="2466"/>
            <w:shd w:fill="E0F2FE"/>
          </w:tcPr>
          <w:p>
            <w:r>
              <w:rPr>
                <w:b/>
              </w:rPr>
              <w:t>Mode de paiement</w:t>
            </w:r>
          </w:p>
        </w:tc>
        <w:tc>
          <w:tcPr>
            <w:tcW w:type="dxa" w:w="2466"/>
            <w:shd w:fill="E0F2FE"/>
          </w:tcPr>
          <w:p>
            <w:r>
              <w:rPr>
                <w:b/>
              </w:rPr>
              <w:t>Échéance</w:t>
            </w:r>
          </w:p>
        </w:tc>
        <w:tc>
          <w:tcPr>
            <w:tcW w:type="dxa" w:w="2466"/>
            <w:shd w:fill="E0F2FE"/>
          </w:tcPr>
          <w:p>
            <w:r>
              <w:rPr>
                <w:b/>
              </w:rPr>
              <w:t>Frais</w:t>
            </w:r>
          </w:p>
        </w:tc>
        <w:tc>
          <w:tcPr>
            <w:tcW w:type="dxa" w:w="2466"/>
            <w:shd w:fill="E0F2FE"/>
          </w:tcPr>
          <w:p>
            <w:r>
              <w:rPr>
                <w:b/>
              </w:rPr>
              <w:t>Conditions</w:t>
            </w:r>
          </w:p>
        </w:tc>
      </w:tr>
      <w:tr>
        <w:tc>
          <w:tcPr>
            <w:tcW w:type="dxa" w:w="2466"/>
          </w:tcPr>
          <w:p/>
        </w:tc>
        <w:tc>
          <w:tcPr>
            <w:tcW w:type="dxa" w:w="2466"/>
          </w:tcPr>
          <w:p/>
        </w:tc>
        <w:tc>
          <w:tcPr>
            <w:tcW w:type="dxa" w:w="2466"/>
          </w:tcPr>
          <w:p/>
        </w:tc>
        <w:tc>
          <w:tcPr>
            <w:tcW w:type="dxa" w:w="2466"/>
          </w:tcPr>
          <w:p/>
        </w:tc>
      </w:tr>
      <w:tr>
        <w:tc>
          <w:tcPr>
            <w:tcW w:type="dxa" w:w="2466"/>
          </w:tcPr>
          <w:p/>
        </w:tc>
        <w:tc>
          <w:tcPr>
            <w:tcW w:type="dxa" w:w="2466"/>
          </w:tcPr>
          <w:p/>
        </w:tc>
        <w:tc>
          <w:tcPr>
            <w:tcW w:type="dxa" w:w="2466"/>
          </w:tcPr>
          <w:p/>
        </w:tc>
        <w:tc>
          <w:tcPr>
            <w:tcW w:type="dxa" w:w="2466"/>
          </w:tcPr>
          <w:p/>
        </w:tc>
      </w:tr>
      <w:tr>
        <w:tc>
          <w:tcPr>
            <w:tcW w:type="dxa" w:w="2466"/>
          </w:tcPr>
          <w:p/>
        </w:tc>
        <w:tc>
          <w:tcPr>
            <w:tcW w:type="dxa" w:w="2466"/>
          </w:tcPr>
          <w:p/>
        </w:tc>
        <w:tc>
          <w:tcPr>
            <w:tcW w:type="dxa" w:w="2466"/>
          </w:tcPr>
          <w:p/>
        </w:tc>
        <w:tc>
          <w:tcPr>
            <w:tcW w:type="dxa" w:w="2466"/>
          </w:tcPr>
          <w:p/>
        </w:tc>
      </w:tr>
      <w:tr>
        <w:tc>
          <w:tcPr>
            <w:tcW w:type="dxa" w:w="2466"/>
          </w:tcPr>
          <w:p/>
        </w:tc>
        <w:tc>
          <w:tcPr>
            <w:tcW w:type="dxa" w:w="2466"/>
          </w:tcPr>
          <w:p/>
        </w:tc>
        <w:tc>
          <w:tcPr>
            <w:tcW w:type="dxa" w:w="2466"/>
          </w:tcPr>
          <w:p/>
        </w:tc>
        <w:tc>
          <w:tcPr>
            <w:tcW w:type="dxa" w:w="2466"/>
          </w:tcPr>
          <w:p/>
        </w:tc>
      </w:tr>
    </w:tbl>
    <w:p/>
    <w:tbl>
      <w:tblPr>
        <w:tblW w:type="auto" w:w="0"/>
        <w:tblLook w:firstColumn="1" w:firstRow="1" w:lastColumn="0" w:lastRow="0" w:noHBand="0" w:noVBand="1" w:val="04A0"/>
        <w:tblBorders>
          <w:top w:val="single" w:sz="8" w:color="0C4A6E"/>
          <w:left w:val="single" w:sz="8" w:color="0C4A6E"/>
          <w:bottom w:val="single" w:sz="8" w:color="0C4A6E"/>
          <w:right w:val="single" w:sz="8" w:color="0C4A6E"/>
          <w:insideH w:val="single" w:sz="8" w:color="0C4A6E"/>
          <w:insideV w:val="single" w:sz="8" w:color="0C4A6E"/>
        </w:tblBorders>
      </w:tblPr>
      <w:tblGrid>
        <w:gridCol w:w="2466"/>
        <w:gridCol w:w="2466"/>
        <w:gridCol w:w="2466"/>
        <w:gridCol w:w="2466"/>
      </w:tblGrid>
      <w:tr>
        <w:tc>
          <w:tcPr>
            <w:tcW w:type="dxa" w:w="2466"/>
            <w:shd w:fill="E0F2FE"/>
          </w:tcPr>
          <w:p>
            <w:r>
              <w:rPr>
                <w:b/>
              </w:rPr>
              <w:t>Type de service</w:t>
            </w:r>
          </w:p>
        </w:tc>
        <w:tc>
          <w:tcPr>
            <w:tcW w:type="dxa" w:w="2466"/>
            <w:shd w:fill="E0F2FE"/>
          </w:tcPr>
          <w:p>
            <w:r>
              <w:rPr>
                <w:b/>
              </w:rPr>
              <w:t>Délai d’exécution</w:t>
            </w:r>
          </w:p>
        </w:tc>
        <w:tc>
          <w:tcPr>
            <w:tcW w:type="dxa" w:w="2466"/>
            <w:shd w:fill="E0F2FE"/>
          </w:tcPr>
          <w:p>
            <w:r>
              <w:rPr>
                <w:b/>
              </w:rPr>
              <w:t>Livrables</w:t>
            </w:r>
          </w:p>
        </w:tc>
        <w:tc>
          <w:tcPr>
            <w:tcW w:type="dxa" w:w="2466"/>
            <w:shd w:fill="E0F2FE"/>
          </w:tcPr>
          <w:p>
            <w:r>
              <w:rPr>
                <w:b/>
              </w:rPr>
              <w:t>Niveau de service (SLA)</w:t>
            </w:r>
          </w:p>
        </w:tc>
      </w:tr>
      <w:tr>
        <w:tc>
          <w:tcPr>
            <w:tcW w:type="dxa" w:w="2466"/>
          </w:tcPr>
          <w:p/>
        </w:tc>
        <w:tc>
          <w:tcPr>
            <w:tcW w:type="dxa" w:w="2466"/>
          </w:tcPr>
          <w:p/>
        </w:tc>
        <w:tc>
          <w:tcPr>
            <w:tcW w:type="dxa" w:w="2466"/>
          </w:tcPr>
          <w:p/>
        </w:tc>
        <w:tc>
          <w:tcPr>
            <w:tcW w:type="dxa" w:w="2466"/>
          </w:tcPr>
          <w:p/>
        </w:tc>
      </w:tr>
      <w:tr>
        <w:tc>
          <w:tcPr>
            <w:tcW w:type="dxa" w:w="2466"/>
          </w:tcPr>
          <w:p/>
        </w:tc>
        <w:tc>
          <w:tcPr>
            <w:tcW w:type="dxa" w:w="2466"/>
          </w:tcPr>
          <w:p/>
        </w:tc>
        <w:tc>
          <w:tcPr>
            <w:tcW w:type="dxa" w:w="2466"/>
          </w:tcPr>
          <w:p/>
        </w:tc>
        <w:tc>
          <w:tcPr>
            <w:tcW w:type="dxa" w:w="2466"/>
          </w:tcPr>
          <w:p/>
        </w:tc>
      </w:tr>
      <w:tr>
        <w:tc>
          <w:tcPr>
            <w:tcW w:type="dxa" w:w="2466"/>
          </w:tcPr>
          <w:p/>
        </w:tc>
        <w:tc>
          <w:tcPr>
            <w:tcW w:type="dxa" w:w="2466"/>
          </w:tcPr>
          <w:p/>
        </w:tc>
        <w:tc>
          <w:tcPr>
            <w:tcW w:type="dxa" w:w="2466"/>
          </w:tcPr>
          <w:p/>
        </w:tc>
        <w:tc>
          <w:tcPr>
            <w:tcW w:type="dxa" w:w="2466"/>
          </w:tcPr>
          <w:p/>
        </w:tc>
      </w:tr>
      <w:tr>
        <w:tc>
          <w:tcPr>
            <w:tcW w:type="dxa" w:w="2466"/>
          </w:tcPr>
          <w:p/>
        </w:tc>
        <w:tc>
          <w:tcPr>
            <w:tcW w:type="dxa" w:w="2466"/>
          </w:tcPr>
          <w:p/>
        </w:tc>
        <w:tc>
          <w:tcPr>
            <w:tcW w:type="dxa" w:w="2466"/>
          </w:tcPr>
          <w:p/>
        </w:tc>
        <w:tc>
          <w:tcPr>
            <w:tcW w:type="dxa" w:w="2466"/>
          </w:tcPr>
          <w:p/>
        </w:tc>
      </w:tr>
    </w:tbl>
    <w:p/>
    <w:tbl>
      <w:tblPr>
        <w:tblW w:type="auto" w:w="0"/>
        <w:tblLook w:firstColumn="1" w:firstRow="1" w:lastColumn="0" w:lastRow="0" w:noHBand="0" w:noVBand="1" w:val="04A0"/>
      </w:tblPr>
      <w:tblGrid>
        <w:gridCol w:w="4933"/>
        <w:gridCol w:w="4933"/>
      </w:tblGrid>
      <w:tr>
        <w:tc>
          <w:tcPr>
            <w:tcW w:type="dxa" w:w="283"/>
            <w:shd w:fill="38BDF8"/>
          </w:tcPr>
          <w:p/>
        </w:tc>
        <w:tc>
          <w:tcPr>
            <w:tcW w:type="dxa" w:w="4933"/>
          </w:tcPr>
          <w:p>
            <w:r>
              <w:rPr>
                <w:b/>
                <w:sz w:val="24"/>
              </w:rPr>
              <w:t>ANNEXES</w:t>
            </w:r>
          </w:p>
        </w:tc>
      </w:tr>
    </w:tbl>
    <w:p/>
    <w:p>
      <w:r>
        <w:t>Annexe 1 — Formulaire de rétractation (B2C)</w:t>
      </w:r>
    </w:p>
    <w:p>
      <w:r>
        <w:t>Annexe 2 — Garantie commerciale (si proposée)</w:t>
      </w:r>
    </w:p>
    <w:p>
      <w:r>
        <w:t>Annexe 3 — Politique de confidentialité &amp; cookies</w:t>
      </w:r>
    </w:p>
    <w:p>
      <w:r>
        <w:t>Annexe 4 — Barème des frais &amp; pénalités (si applicable)</w:t>
      </w:r>
    </w:p>
    <w:p>
      <w:r>
        <w:t>Annexe 5 — Coordonnées du médiateur (B2C)</w:t>
      </w:r>
    </w:p>
    <w:sectPr w:rsidR="00FC693F" w:rsidRPr="0006063C" w:rsidSect="00034616">
      <w:footerReference w:type="default" r:id="rId9"/>
      <w:pgSz w:w="11906" w:h="16838"/>
      <w:pgMar w:top="1020" w:right="1020" w:bottom="102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6"/>
      </w:rPr>
      <w:t>lecoursgratuit.com — CGV — Modèle Word gratuit (A4, 2025) — À adapter à votre activité et juridiction</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