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keepNext/>
        <w:keepLines/>
        <w:spacing w:before="0" w:after="40"/>
      </w:pPr>
      <w:r>
        <w:t>MÉMENTO — SENS PROPRE / SENS FIGURÉ (A4 imprimable)</w:t>
      </w:r>
    </w:p>
    <w:p>
      <w:pPr>
        <w:pStyle w:val="Subtitle"/>
        <w:keepNext/>
        <w:keepLines/>
        <w:spacing w:before="0" w:after="40"/>
      </w:pPr>
      <w:r>
        <w:t>Cheatsheet pédagogique — définitions, repères, exemples, erreurs à éviter, mini‑exercices &amp; corrigés</w:t>
      </w:r>
    </w:p>
    <w:p/>
    <w:tbl>
      <w:tblPr>
        <w:tblStyle w:val="TableGrid"/>
        <w:tblW w:type="auto" w:w="0"/>
        <w:tblLayout w:type="fixed"/>
        <w:tblLook w:firstColumn="1" w:firstRow="1" w:lastColumn="0" w:lastRow="0" w:noHBand="0" w:noVBand="1" w:val="04A0"/>
      </w:tblPr>
      <w:tblGrid>
        <w:gridCol w:w="2948"/>
        <w:gridCol w:w="2268"/>
        <w:gridCol w:w="1701"/>
        <w:gridCol w:w="2551"/>
        <w:gridCol w:w="1984"/>
      </w:tblGrid>
      <w:tr>
        <w:trPr>
          <w:cantSplit/>
        </w:trPr>
        <w:tc>
          <w:tcPr>
            <w:tcW w:type="dxa" w:w="1973"/>
          </w:tcPr>
          <w:p>
            <w:pPr>
              <w:keepNext/>
              <w:keepLines/>
              <w:spacing w:before="0" w:after="0"/>
            </w:pPr>
            <w:r>
              <w:rPr>
                <w:b/>
              </w:rPr>
              <w:t xml:space="preserve">Projet / Sujet : </w:t>
            </w:r>
            <w:r>
              <w:t>Sens propre / sens figuré — article + exercices</w:t>
            </w:r>
          </w:p>
        </w:tc>
        <w:tc>
          <w:tcPr>
            <w:tcW w:type="dxa" w:w="1973"/>
          </w:tcPr>
          <w:p>
            <w:pPr>
              <w:keepNext/>
              <w:keepLines/>
              <w:spacing w:before="0" w:after="0"/>
            </w:pPr>
            <w:r>
              <w:rPr>
                <w:b/>
              </w:rPr>
              <w:t xml:space="preserve">Auteur : </w:t>
            </w:r>
            <w:r>
              <w:t>Nom Prénom</w:t>
            </w:r>
          </w:p>
        </w:tc>
        <w:tc>
          <w:tcPr>
            <w:tcW w:type="dxa" w:w="1973"/>
          </w:tcPr>
          <w:p>
            <w:pPr>
              <w:keepNext/>
              <w:keepLines/>
              <w:spacing w:before="0" w:after="0"/>
            </w:pPr>
            <w:r>
              <w:rPr>
                <w:b/>
              </w:rPr>
              <w:t xml:space="preserve">Date : </w:t>
            </w:r>
            <w:r>
              <w:t>JJ/MM/AAAA</w:t>
            </w:r>
          </w:p>
        </w:tc>
        <w:tc>
          <w:tcPr>
            <w:tcW w:type="dxa" w:w="1973"/>
          </w:tcPr>
          <w:p>
            <w:pPr>
              <w:keepNext/>
              <w:keepLines/>
              <w:spacing w:before="0" w:after="0"/>
            </w:pPr>
            <w:r>
              <w:rPr>
                <w:b/>
              </w:rPr>
              <w:t xml:space="preserve">Public : </w:t>
            </w:r>
            <w:r>
              <w:t>Collège / Lycée / FLE</w:t>
            </w:r>
          </w:p>
        </w:tc>
        <w:tc>
          <w:tcPr>
            <w:tcW w:type="dxa" w:w="1973"/>
          </w:tcPr>
          <w:p>
            <w:pPr>
              <w:keepNext/>
              <w:keepLines/>
              <w:spacing w:before="0" w:after="0"/>
            </w:pPr>
            <w:r>
              <w:rPr>
                <w:b/>
              </w:rPr>
              <w:t xml:space="preserve">Version : </w:t>
            </w:r>
            <w:r>
              <w:t>v1.0</w:t>
            </w:r>
          </w:p>
        </w:tc>
      </w:tr>
    </w:tbl>
    <w:p/>
    <w:tbl>
      <w:tblPr>
        <w:tblStyle w:val="TableGrid"/>
        <w:tblW w:type="auto" w:w="0"/>
        <w:tblLayout w:type="fixed"/>
        <w:tblLook w:firstColumn="1" w:firstRow="1" w:lastColumn="0" w:lastRow="0" w:noHBand="0" w:noVBand="1" w:val="04A0"/>
      </w:tblPr>
      <w:tblGrid>
        <w:gridCol w:w="5556"/>
        <w:gridCol w:w="5556"/>
      </w:tblGrid>
      <w:tr>
        <w:tc>
          <w:tcPr>
            <w:tcW w:type="dxa" w:w="4933"/>
          </w:tcPr>
          <w:p/>
          <w:p>
            <w:pPr>
              <w:pStyle w:val="Heading1"/>
              <w:keepNext/>
              <w:keepLines/>
              <w:spacing w:before="0" w:after="40"/>
            </w:pPr>
            <w:r>
              <w:t>Définitions utiles</w:t>
            </w:r>
          </w:p>
          <w:tbl>
            <w:tblPr>
              <w:tblStyle w:val="TableGrid"/>
              <w:tblW w:type="auto" w:w="0"/>
              <w:tblLayout w:type="fixed"/>
              <w:tblLook w:firstColumn="1" w:firstRow="1" w:lastColumn="0" w:lastRow="0" w:noHBand="0" w:noVBand="1" w:val="04A0"/>
            </w:tblPr>
            <w:tblGrid>
              <w:gridCol w:w="2041"/>
              <w:gridCol w:w="3231"/>
            </w:tblGrid>
            <w:tr>
              <w:trPr>
                <w:cantSplit/>
              </w:trPr>
              <w:tc>
                <w:tcPr>
                  <w:tcW w:type="dxa" w:w="2466"/>
                  <w:shd w:fill="EFEFEF" w:val="clear"/>
                </w:tcPr>
                <w:p>
                  <w:pPr>
                    <w:keepNext/>
                    <w:keepLines/>
                    <w:spacing w:before="0" w:after="0"/>
                  </w:pPr>
                  <w:r>
                    <w:t>Sens propre</w:t>
                  </w:r>
                </w:p>
              </w:tc>
              <w:tc>
                <w:tcPr>
                  <w:tcW w:type="dxa" w:w="2466"/>
                </w:tcPr>
                <w:p>
                  <w:pPr>
                    <w:keepNext/>
                    <w:keepLines/>
                    <w:spacing w:before="0" w:after="0"/>
                  </w:pPr>
                  <w:r>
                    <w:t>Sens premier, concret, compatible avec la réalité matérielle. Ex. « avaler de l’eau ».</w:t>
                  </w:r>
                </w:p>
              </w:tc>
            </w:tr>
            <w:tr>
              <w:trPr>
                <w:cantSplit/>
              </w:trPr>
              <w:tc>
                <w:tcPr>
                  <w:tcW w:type="dxa" w:w="2466"/>
                  <w:shd w:fill="EFEFEF" w:val="clear"/>
                </w:tcPr>
                <w:p>
                  <w:pPr>
                    <w:keepNext/>
                    <w:keepLines/>
                    <w:spacing w:before="0" w:after="0"/>
                  </w:pPr>
                  <w:r>
                    <w:t>Sens figuré</w:t>
                  </w:r>
                </w:p>
              </w:tc>
              <w:tc>
                <w:tcPr>
                  <w:tcW w:type="dxa" w:w="2466"/>
                </w:tcPr>
                <w:p>
                  <w:pPr>
                    <w:keepNext/>
                    <w:keepLines/>
                    <w:spacing w:before="0" w:after="0"/>
                  </w:pPr>
                  <w:r>
                    <w:t>Sens imagé, construit par analogie ou déplacement. Ex. « avaler des kilomètres ».</w:t>
                  </w:r>
                </w:p>
              </w:tc>
            </w:tr>
          </w:tbl>
          <w:p/>
          <w:p>
            <w:pPr>
              <w:pStyle w:val="Heading1"/>
              <w:keepNext/>
              <w:keepLines/>
              <w:spacing w:before="0" w:after="40"/>
            </w:pPr>
            <w:r>
              <w:t>Repères de décision (pour distinguer)</w:t>
            </w:r>
          </w:p>
          <w:p>
            <w:pPr>
              <w:keepNext w:val="0"/>
              <w:keepLines/>
              <w:spacing w:before="0" w:after="0"/>
            </w:pPr>
            <w:r>
              <w:t>• Compatibilité concrète : si l’énoncé est matériellement impossible → figuré (ex. « le silence hurle »).</w:t>
            </w:r>
          </w:p>
          <w:p>
            <w:pPr>
              <w:keepNext w:val="0"/>
              <w:keepLines/>
              <w:spacing w:before="0" w:after="0"/>
            </w:pPr>
            <w:r>
              <w:t>• Collocations usuelles : « boire de l’eau » (propre) vs « boire les paroles » (figuré).</w:t>
            </w:r>
          </w:p>
          <w:p>
            <w:pPr>
              <w:keepNext w:val="0"/>
              <w:keepLines/>
              <w:spacing w:before="0" w:after="0"/>
            </w:pPr>
            <w:r>
              <w:t>• Paraphrase neutre : si on peut remplacer par un verbe abstrait (« admirer ») → figuré.</w:t>
            </w:r>
          </w:p>
          <w:p>
            <w:pPr>
              <w:pStyle w:val="Heading1"/>
              <w:keepNext/>
              <w:keepLines/>
              <w:spacing w:before="0" w:after="40"/>
            </w:pPr>
            <w:r>
              <w:t>Familles d’images (rappel)</w:t>
            </w:r>
          </w:p>
          <w:tbl>
            <w:tblPr>
              <w:tblStyle w:val="TableGrid"/>
              <w:tblW w:type="auto" w:w="0"/>
              <w:tblLayout w:type="fixed"/>
              <w:tblLook w:firstColumn="1" w:firstRow="1" w:lastColumn="0" w:lastRow="0" w:noHBand="0" w:noVBand="1" w:val="04A0"/>
            </w:tblPr>
            <w:tblGrid>
              <w:gridCol w:w="2041"/>
              <w:gridCol w:w="3231"/>
            </w:tblGrid>
            <w:tr>
              <w:trPr>
                <w:cantSplit/>
              </w:trPr>
              <w:tc>
                <w:tcPr>
                  <w:tcW w:type="dxa" w:w="2466"/>
                  <w:shd w:fill="EFEFEF" w:val="clear"/>
                </w:tcPr>
                <w:p>
                  <w:pPr>
                    <w:keepNext/>
                    <w:keepLines/>
                    <w:spacing w:before="0" w:after="0"/>
                  </w:pPr>
                  <w:r>
                    <w:t>Métaphore</w:t>
                  </w:r>
                </w:p>
              </w:tc>
              <w:tc>
                <w:tcPr>
                  <w:tcW w:type="dxa" w:w="2466"/>
                </w:tcPr>
                <w:p>
                  <w:pPr>
                    <w:keepNext/>
                    <w:keepLines/>
                    <w:spacing w:before="0" w:after="0"/>
                  </w:pPr>
                  <w:r>
                    <w:t>Transfert direct : « Ce quartier est un désert. »</w:t>
                  </w:r>
                </w:p>
              </w:tc>
            </w:tr>
            <w:tr>
              <w:trPr>
                <w:cantSplit/>
              </w:trPr>
              <w:tc>
                <w:tcPr>
                  <w:tcW w:type="dxa" w:w="2466"/>
                  <w:shd w:fill="EFEFEF" w:val="clear"/>
                </w:tcPr>
                <w:p>
                  <w:pPr>
                    <w:keepNext/>
                    <w:keepLines/>
                    <w:spacing w:before="0" w:after="0"/>
                  </w:pPr>
                  <w:r>
                    <w:t>Comparaison</w:t>
                  </w:r>
                </w:p>
              </w:tc>
              <w:tc>
                <w:tcPr>
                  <w:tcW w:type="dxa" w:w="2466"/>
                </w:tcPr>
                <w:p>
                  <w:pPr>
                    <w:keepNext/>
                    <w:keepLines/>
                    <w:spacing w:before="0" w:after="0"/>
                  </w:pPr>
                  <w:r>
                    <w:t>Avec outil de comparaison : « rapide comme l’éclair ».</w:t>
                  </w:r>
                </w:p>
              </w:tc>
            </w:tr>
            <w:tr>
              <w:trPr>
                <w:cantSplit/>
              </w:trPr>
              <w:tc>
                <w:tcPr>
                  <w:tcW w:type="dxa" w:w="2466"/>
                  <w:shd w:fill="EFEFEF" w:val="clear"/>
                </w:tcPr>
                <w:p>
                  <w:pPr>
                    <w:keepNext/>
                    <w:keepLines/>
                    <w:spacing w:before="0" w:after="0"/>
                  </w:pPr>
                  <w:r>
                    <w:t>Métonymie</w:t>
                  </w:r>
                </w:p>
              </w:tc>
              <w:tc>
                <w:tcPr>
                  <w:tcW w:type="dxa" w:w="2466"/>
                </w:tcPr>
                <w:p>
                  <w:pPr>
                    <w:keepNext/>
                    <w:keepLines/>
                    <w:spacing w:before="0" w:after="0"/>
                  </w:pPr>
                  <w:r>
                    <w:t>Voisinage réel : « boire un verre » (contenant pour contenu).</w:t>
                  </w:r>
                </w:p>
              </w:tc>
            </w:tr>
            <w:tr>
              <w:trPr>
                <w:cantSplit/>
              </w:trPr>
              <w:tc>
                <w:tcPr>
                  <w:tcW w:type="dxa" w:w="2466"/>
                  <w:shd w:fill="EFEFEF" w:val="clear"/>
                </w:tcPr>
                <w:p>
                  <w:pPr>
                    <w:keepNext/>
                    <w:keepLines/>
                    <w:spacing w:before="0" w:after="0"/>
                  </w:pPr>
                  <w:r>
                    <w:t>Périphrase</w:t>
                  </w:r>
                </w:p>
              </w:tc>
              <w:tc>
                <w:tcPr>
                  <w:tcW w:type="dxa" w:w="2466"/>
                </w:tcPr>
                <w:p>
                  <w:pPr>
                    <w:keepNext/>
                    <w:keepLines/>
                    <w:spacing w:before="0" w:after="0"/>
                  </w:pPr>
                  <w:r>
                    <w:t>Dire autrement : « la Ville lumière » (Paris).</w:t>
                  </w:r>
                </w:p>
              </w:tc>
            </w:tr>
            <w:tr>
              <w:trPr>
                <w:cantSplit/>
              </w:trPr>
              <w:tc>
                <w:tcPr>
                  <w:tcW w:type="dxa" w:w="2466"/>
                  <w:shd w:fill="EFEFEF" w:val="clear"/>
                </w:tcPr>
                <w:p>
                  <w:pPr>
                    <w:keepNext/>
                    <w:keepLines/>
                    <w:spacing w:before="0" w:after="0"/>
                  </w:pPr>
                  <w:r>
                    <w:t>Hyperbole</w:t>
                  </w:r>
                </w:p>
              </w:tc>
              <w:tc>
                <w:tcPr>
                  <w:tcW w:type="dxa" w:w="2466"/>
                </w:tcPr>
                <w:p>
                  <w:pPr>
                    <w:keepNext/>
                    <w:keepLines/>
                    <w:spacing w:before="0" w:after="0"/>
                  </w:pPr>
                  <w:r>
                    <w:t>Exagération : « j’ai mille choses à faire ».</w:t>
                  </w:r>
                </w:p>
              </w:tc>
            </w:tr>
            <w:tr>
              <w:trPr>
                <w:cantSplit/>
              </w:trPr>
              <w:tc>
                <w:tcPr>
                  <w:tcW w:type="dxa" w:w="2466"/>
                  <w:shd w:fill="EFEFEF" w:val="clear"/>
                </w:tcPr>
                <w:p>
                  <w:pPr>
                    <w:keepNext/>
                    <w:keepLines/>
                    <w:spacing w:before="0" w:after="0"/>
                  </w:pPr>
                  <w:r>
                    <w:t>Personnification</w:t>
                  </w:r>
                </w:p>
              </w:tc>
              <w:tc>
                <w:tcPr>
                  <w:tcW w:type="dxa" w:w="2466"/>
                </w:tcPr>
                <w:p>
                  <w:pPr>
                    <w:keepNext/>
                    <w:keepLines/>
                    <w:spacing w:before="0" w:after="0"/>
                  </w:pPr>
                  <w:r>
                    <w:t>Attribut humain : « la nuit retient son souffle ».</w:t>
                  </w:r>
                </w:p>
              </w:tc>
            </w:tr>
          </w:tbl>
          <w:p/>
        </w:tc>
        <w:tc>
          <w:tcPr>
            <w:tcW w:type="dxa" w:w="4933"/>
          </w:tcPr>
          <w:p/>
          <w:p>
            <w:pPr>
              <w:pStyle w:val="Heading1"/>
              <w:keepNext/>
              <w:keepLines/>
              <w:spacing w:before="0" w:after="40"/>
            </w:pPr>
            <w:r>
              <w:t>Erreurs fréquentes (et remèdes)</w:t>
            </w:r>
          </w:p>
          <w:tbl>
            <w:tblPr>
              <w:tblStyle w:val="TableGrid"/>
              <w:tblW w:type="auto" w:w="0"/>
              <w:tblLayout w:type="fixed"/>
              <w:tblLook w:firstColumn="1" w:firstRow="1" w:lastColumn="0" w:lastRow="0" w:noHBand="0" w:noVBand="1" w:val="04A0"/>
            </w:tblPr>
            <w:tblGrid>
              <w:gridCol w:w="3628"/>
              <w:gridCol w:w="1757"/>
            </w:tblGrid>
            <w:tr>
              <w:trPr>
                <w:cantSplit/>
              </w:trPr>
              <w:tc>
                <w:tcPr>
                  <w:tcW w:type="dxa" w:w="2466"/>
                </w:tcPr>
                <w:p>
                  <w:pPr>
                    <w:keepNext/>
                    <w:keepLines/>
                    <w:spacing w:before="0" w:after="0"/>
                  </w:pPr>
                  <w:r>
                    <w:t>Clichés usés : images sans relief (« pluie de projets », « au jour d’aujourd’hui »).</w:t>
                  </w:r>
                </w:p>
              </w:tc>
              <w:tc>
                <w:tcPr>
                  <w:tcW w:type="dxa" w:w="2466"/>
                  <w:shd w:fill="F2F2F2" w:val="clear"/>
                </w:tcPr>
                <w:p>
                  <w:pPr>
                    <w:keepNext/>
                    <w:keepLines/>
                    <w:spacing w:before="0" w:after="0"/>
                  </w:pPr>
                  <w:r>
                    <w:t>Privilégier une image située et brève.</w:t>
                  </w:r>
                </w:p>
              </w:tc>
            </w:tr>
            <w:tr>
              <w:trPr>
                <w:cantSplit/>
              </w:trPr>
              <w:tc>
                <w:tcPr>
                  <w:tcW w:type="dxa" w:w="2466"/>
                </w:tcPr>
                <w:p>
                  <w:pPr>
                    <w:keepNext/>
                    <w:keepLines/>
                    <w:spacing w:before="0" w:after="0"/>
                  </w:pPr>
                  <w:r>
                    <w:t>Métaphores mélangées (« éteindre l’incendie et reprendre le cap avant que le navire ne s’asphyxie »).</w:t>
                  </w:r>
                </w:p>
              </w:tc>
              <w:tc>
                <w:tcPr>
                  <w:tcW w:type="dxa" w:w="2466"/>
                  <w:shd w:fill="F2F2F2" w:val="clear"/>
                </w:tcPr>
                <w:p>
                  <w:pPr>
                    <w:keepNext/>
                    <w:keepLines/>
                    <w:spacing w:before="0" w:after="0"/>
                  </w:pPr>
                  <w:r>
                    <w:t>Choisir un seul univers de référence.</w:t>
                  </w:r>
                </w:p>
              </w:tc>
            </w:tr>
            <w:tr>
              <w:trPr>
                <w:cantSplit/>
              </w:trPr>
              <w:tc>
                <w:tcPr>
                  <w:tcW w:type="dxa" w:w="2466"/>
                </w:tcPr>
                <w:p>
                  <w:pPr>
                    <w:keepNext/>
                    <w:keepLines/>
                    <w:spacing w:before="0" w:after="0"/>
                  </w:pPr>
                  <w:r>
                    <w:t>Prendre au propre un figuré (satires, poèmes).</w:t>
                  </w:r>
                </w:p>
              </w:tc>
              <w:tc>
                <w:tcPr>
                  <w:tcW w:type="dxa" w:w="2466"/>
                  <w:shd w:fill="F2F2F2" w:val="clear"/>
                </w:tcPr>
                <w:p>
                  <w:pPr>
                    <w:keepNext/>
                    <w:keepLines/>
                    <w:spacing w:before="0" w:after="0"/>
                  </w:pPr>
                  <w:r>
                    <w:t>Paraphraser pour vérifier la cohérence.</w:t>
                  </w:r>
                </w:p>
              </w:tc>
            </w:tr>
          </w:tbl>
          <w:p/>
          <w:p>
            <w:pPr>
              <w:pStyle w:val="Heading1"/>
              <w:keepNext/>
              <w:keepLines/>
              <w:spacing w:before="0" w:after="40"/>
            </w:pPr>
            <w:r>
              <w:t>Exemples rapides (à classer)</w:t>
            </w:r>
          </w:p>
          <w:tbl>
            <w:tblPr>
              <w:tblStyle w:val="TableGrid"/>
              <w:tblW w:type="auto" w:w="0"/>
              <w:tblLayout w:type="fixed"/>
              <w:tblLook w:firstColumn="1" w:firstRow="1" w:lastColumn="0" w:lastRow="0" w:noHBand="0" w:noVBand="1" w:val="04A0"/>
            </w:tblPr>
            <w:tblGrid>
              <w:gridCol w:w="3628"/>
              <w:gridCol w:w="1757"/>
            </w:tblGrid>
            <w:tr>
              <w:trPr>
                <w:cantSplit/>
              </w:trPr>
              <w:tc>
                <w:tcPr>
                  <w:tcW w:type="dxa" w:w="2466"/>
                </w:tcPr>
                <w:p>
                  <w:pPr>
                    <w:keepNext/>
                    <w:keepLines/>
                    <w:spacing w:before="0" w:after="0"/>
                  </w:pPr>
                  <w:r>
                    <w:t>Le froid mord les joues.</w:t>
                  </w:r>
                </w:p>
              </w:tc>
              <w:tc>
                <w:tcPr>
                  <w:tcW w:type="dxa" w:w="2466"/>
                  <w:shd w:fill="EDEDED" w:val="clear"/>
                </w:tcPr>
                <w:p>
                  <w:pPr>
                    <w:keepNext/>
                    <w:keepLines/>
                    <w:spacing w:before="0" w:after="0"/>
                  </w:pPr>
                  <w:r>
                    <w:t>Figuré</w:t>
                  </w:r>
                </w:p>
              </w:tc>
            </w:tr>
            <w:tr>
              <w:trPr>
                <w:cantSplit/>
              </w:trPr>
              <w:tc>
                <w:tcPr>
                  <w:tcW w:type="dxa" w:w="2466"/>
                </w:tcPr>
                <w:p>
                  <w:pPr>
                    <w:keepNext/>
                    <w:keepLines/>
                    <w:spacing w:before="0" w:after="0"/>
                  </w:pPr>
                  <w:r>
                    <w:t>Le vent balaye la plaine.</w:t>
                  </w:r>
                </w:p>
              </w:tc>
              <w:tc>
                <w:tcPr>
                  <w:tcW w:type="dxa" w:w="2466"/>
                  <w:shd w:fill="EDEDED" w:val="clear"/>
                </w:tcPr>
                <w:p>
                  <w:pPr>
                    <w:keepNext/>
                    <w:keepLines/>
                    <w:spacing w:before="0" w:after="0"/>
                  </w:pPr>
                  <w:r>
                    <w:t>Propre</w:t>
                  </w:r>
                </w:p>
              </w:tc>
            </w:tr>
            <w:tr>
              <w:trPr>
                <w:cantSplit/>
              </w:trPr>
              <w:tc>
                <w:tcPr>
                  <w:tcW w:type="dxa" w:w="2466"/>
                </w:tcPr>
                <w:p>
                  <w:pPr>
                    <w:keepNext/>
                    <w:keepLines/>
                    <w:spacing w:before="0" w:after="0"/>
                  </w:pPr>
                  <w:r>
                    <w:t>Elle a brisé le silence.</w:t>
                  </w:r>
                </w:p>
              </w:tc>
              <w:tc>
                <w:tcPr>
                  <w:tcW w:type="dxa" w:w="2466"/>
                  <w:shd w:fill="EDEDED" w:val="clear"/>
                </w:tcPr>
                <w:p>
                  <w:pPr>
                    <w:keepNext/>
                    <w:keepLines/>
                    <w:spacing w:before="0" w:after="0"/>
                  </w:pPr>
                  <w:r>
                    <w:t>Figuré</w:t>
                  </w:r>
                </w:p>
              </w:tc>
            </w:tr>
            <w:tr>
              <w:trPr>
                <w:cantSplit/>
              </w:trPr>
              <w:tc>
                <w:tcPr>
                  <w:tcW w:type="dxa" w:w="2466"/>
                </w:tcPr>
                <w:p>
                  <w:pPr>
                    <w:keepNext/>
                    <w:keepLines/>
                    <w:spacing w:before="0" w:after="0"/>
                  </w:pPr>
                  <w:r>
                    <w:t>Il a brisé le vase.</w:t>
                  </w:r>
                </w:p>
              </w:tc>
              <w:tc>
                <w:tcPr>
                  <w:tcW w:type="dxa" w:w="2466"/>
                  <w:shd w:fill="EDEDED" w:val="clear"/>
                </w:tcPr>
                <w:p>
                  <w:pPr>
                    <w:keepNext/>
                    <w:keepLines/>
                    <w:spacing w:before="0" w:after="0"/>
                  </w:pPr>
                  <w:r>
                    <w:t>Propre</w:t>
                  </w:r>
                </w:p>
              </w:tc>
            </w:tr>
            <w:tr>
              <w:trPr>
                <w:cantSplit/>
              </w:trPr>
              <w:tc>
                <w:tcPr>
                  <w:tcW w:type="dxa" w:w="2466"/>
                </w:tcPr>
                <w:p>
                  <w:pPr>
                    <w:keepNext/>
                    <w:keepLines/>
                    <w:spacing w:before="0" w:after="0"/>
                  </w:pPr>
                  <w:r>
                    <w:t>Boire les paroles d’un prof.</w:t>
                  </w:r>
                </w:p>
              </w:tc>
              <w:tc>
                <w:tcPr>
                  <w:tcW w:type="dxa" w:w="2466"/>
                  <w:shd w:fill="EDEDED" w:val="clear"/>
                </w:tcPr>
                <w:p>
                  <w:pPr>
                    <w:keepNext/>
                    <w:keepLines/>
                    <w:spacing w:before="0" w:after="0"/>
                  </w:pPr>
                  <w:r>
                    <w:t>Figuré</w:t>
                  </w:r>
                </w:p>
              </w:tc>
            </w:tr>
            <w:tr>
              <w:trPr>
                <w:cantSplit/>
              </w:trPr>
              <w:tc>
                <w:tcPr>
                  <w:tcW w:type="dxa" w:w="2466"/>
                </w:tcPr>
                <w:p>
                  <w:pPr>
                    <w:keepNext/>
                    <w:keepLines/>
                    <w:spacing w:before="0" w:after="0"/>
                  </w:pPr>
                  <w:r>
                    <w:t>La rivière charrie des troncs.</w:t>
                  </w:r>
                </w:p>
              </w:tc>
              <w:tc>
                <w:tcPr>
                  <w:tcW w:type="dxa" w:w="2466"/>
                  <w:shd w:fill="EDEDED" w:val="clear"/>
                </w:tcPr>
                <w:p>
                  <w:pPr>
                    <w:keepNext/>
                    <w:keepLines/>
                    <w:spacing w:before="0" w:after="0"/>
                  </w:pPr>
                  <w:r>
                    <w:t>Propre</w:t>
                  </w:r>
                </w:p>
              </w:tc>
            </w:tr>
          </w:tbl>
          <w:p/>
          <w:p>
            <w:pPr>
              <w:pStyle w:val="Heading1"/>
              <w:keepNext/>
              <w:keepLines/>
              <w:spacing w:before="0" w:after="40"/>
            </w:pPr>
            <w:r>
              <w:t>Mini‑exercices (avec solutions)</w:t>
            </w:r>
          </w:p>
          <w:tbl>
            <w:tblPr>
              <w:tblStyle w:val="TableGrid"/>
              <w:tblW w:type="auto" w:w="0"/>
              <w:tblLayout w:type="fixed"/>
              <w:tblLook w:firstColumn="1" w:firstRow="1" w:lastColumn="0" w:lastRow="0" w:noHBand="0" w:noVBand="1" w:val="04A0"/>
            </w:tblPr>
            <w:tblGrid>
              <w:gridCol w:w="3628"/>
              <w:gridCol w:w="1757"/>
            </w:tblGrid>
            <w:tr>
              <w:trPr>
                <w:cantSplit/>
              </w:trPr>
              <w:tc>
                <w:tcPr>
                  <w:tcW w:type="dxa" w:w="2466"/>
                </w:tcPr>
                <w:p>
                  <w:pPr>
                    <w:keepNext/>
                    <w:keepLines/>
                    <w:spacing w:before="0" w:after="0"/>
                  </w:pPr>
                  <w:r>
                    <w:t>Réécrire au sens propre : « Cette réunion a été un tunnel. »</w:t>
                  </w:r>
                </w:p>
              </w:tc>
              <w:tc>
                <w:tcPr>
                  <w:tcW w:type="dxa" w:w="2466"/>
                  <w:shd w:fill="F2F2F2" w:val="clear"/>
                </w:tcPr>
                <w:p>
                  <w:pPr>
                    <w:keepNext/>
                    <w:keepLines/>
                    <w:spacing w:before="0" w:after="0"/>
                  </w:pPr>
                  <w:r>
                    <w:t>Réponse : longue et monotone.</w:t>
                  </w:r>
                </w:p>
              </w:tc>
            </w:tr>
            <w:tr>
              <w:trPr>
                <w:cantSplit/>
              </w:trPr>
              <w:tc>
                <w:tcPr>
                  <w:tcW w:type="dxa" w:w="2466"/>
                </w:tcPr>
                <w:p>
                  <w:pPr>
                    <w:keepNext/>
                    <w:keepLines/>
                    <w:spacing w:before="0" w:after="0"/>
                  </w:pPr>
                  <w:r>
                    <w:t>Paraphraser : « Sa décision a été un électrochoc. »</w:t>
                  </w:r>
                </w:p>
              </w:tc>
              <w:tc>
                <w:tcPr>
                  <w:tcW w:type="dxa" w:w="2466"/>
                  <w:shd w:fill="F2F2F2" w:val="clear"/>
                </w:tcPr>
                <w:p>
                  <w:pPr>
                    <w:keepNext/>
                    <w:keepLines/>
                    <w:spacing w:before="0" w:after="0"/>
                  </w:pPr>
                  <w:r>
                    <w:t>Réponse : réveil brutal et salutaire.</w:t>
                  </w:r>
                </w:p>
              </w:tc>
            </w:tr>
            <w:tr>
              <w:trPr>
                <w:cantSplit/>
              </w:trPr>
              <w:tc>
                <w:tcPr>
                  <w:tcW w:type="dxa" w:w="2466"/>
                </w:tcPr>
                <w:p>
                  <w:pPr>
                    <w:keepNext/>
                    <w:keepLines/>
                    <w:spacing w:before="0" w:after="0"/>
                  </w:pPr>
                  <w:r>
                    <w:t>Métonymie ou métaphore ? « La mairie a interdit… »</w:t>
                  </w:r>
                </w:p>
              </w:tc>
              <w:tc>
                <w:tcPr>
                  <w:tcW w:type="dxa" w:w="2466"/>
                  <w:shd w:fill="F2F2F2" w:val="clear"/>
                </w:tcPr>
                <w:p>
                  <w:pPr>
                    <w:keepNext/>
                    <w:keepLines/>
                    <w:spacing w:before="0" w:after="0"/>
                  </w:pPr>
                  <w:r>
                    <w:t>Réponse : métonymie (institution).</w:t>
                  </w:r>
                </w:p>
              </w:tc>
            </w:tr>
          </w:tbl>
          <w:p/>
        </w:tc>
      </w:tr>
    </w:tbl>
    <w:sectPr w:rsidR="00FC693F" w:rsidRPr="0006063C" w:rsidSect="00034616">
      <w:headerReference w:type="default" r:id="rId9"/>
      <w:footerReference w:type="default" r:id="rId10"/>
      <w:pgSz w:w="11906" w:h="16838"/>
      <w:pgMar w:top="1020" w:right="1020" w:bottom="1020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lecoursgratuit.com — Mémento Sens propre / Sens figuré — v1.0 (imprimable)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pBdr>
        <w:bottom w:val="single" w:sz="6" w:space="1" w:color="7A7A7A"/>
      </w:pBd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Calibri" w:hAnsi="Calibr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Calibri" w:hAnsi="Calibri"/>
      <w:b/>
      <w:bCs/>
      <w:color w:val="4F81BD" w:themeColor="accent1"/>
      <w:sz w:val="23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