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0F172A"/>
          <w:sz w:val="40"/>
        </w:rPr>
        <w:t>Matrice RACI — Vue Comité</w:t>
      </w:r>
    </w:p>
    <w:p>
      <w:r>
        <w:rPr>
          <w:color w:val="0D9488"/>
          <w:sz w:val="20"/>
        </w:rPr>
        <w:t>Version comité | Généré le 15/09/2025 19:45 | Palette émeraude/sarcelle/or</w:t>
      </w:r>
    </w:p>
    <w:p/>
    <w:p>
      <w:r>
        <w:rPr>
          <w:b/>
          <w:color w:val="059669"/>
          <w:sz w:val="24"/>
        </w:rPr>
        <w:t>Principes d'usage</w:t>
      </w:r>
    </w:p>
    <w:p>
      <w:r>
        <w:rPr>
          <w:color w:val="0F172A"/>
          <w:sz w:val="22"/>
        </w:rPr>
        <w:t>• Un seul A (autorité d'approbation) par livrable.</w:t>
      </w:r>
    </w:p>
    <w:p>
      <w:r>
        <w:rPr>
          <w:color w:val="0F172A"/>
          <w:sz w:val="22"/>
        </w:rPr>
        <w:t>• Au moins un R (exécution) ; positionné au plus près du terrain.</w:t>
      </w:r>
    </w:p>
    <w:p>
      <w:r>
        <w:rPr>
          <w:color w:val="0F172A"/>
          <w:sz w:val="22"/>
        </w:rPr>
        <w:t>• Consultation frugale (C) ; apport décisif, fenêtre et format cadrés.</w:t>
      </w:r>
    </w:p>
    <w:p>
      <w:r>
        <w:rPr>
          <w:color w:val="0F172A"/>
          <w:sz w:val="22"/>
        </w:rPr>
        <w:t>• Informés (I) regroupés via un bulletin unique.</w:t>
      </w:r>
    </w:p>
    <w:p>
      <w:r>
        <w:rPr>
          <w:color w:val="0F172A"/>
          <w:sz w:val="22"/>
        </w:rPr>
        <w:t>• Validations A horodatées et archivées ; RACI revue à chaque jalon.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233"/>
        <w:gridCol w:w="1233"/>
        <w:gridCol w:w="1233"/>
        <w:gridCol w:w="1233"/>
        <w:gridCol w:w="1233"/>
        <w:gridCol w:w="1233"/>
        <w:gridCol w:w="1233"/>
        <w:gridCol w:w="1233"/>
      </w:tblGrid>
      <w:tr>
        <w:tc>
          <w:tcPr>
            <w:tcW w:type="dxa" w:w="1233"/>
            <w:shd w:val="clear" w:fill="059669"/>
          </w:tcPr>
          <w:p>
            <w:r>
              <w:rPr>
                <w:b/>
                <w:color w:val="FFFFFF"/>
                <w:sz w:val="20"/>
              </w:rPr>
              <w:t>Livrable / Tâche</w:t>
            </w:r>
          </w:p>
        </w:tc>
        <w:tc>
          <w:tcPr>
            <w:tcW w:type="dxa" w:w="1233"/>
            <w:shd w:val="clear" w:fill="059669"/>
          </w:tcPr>
          <w:p>
            <w:r>
              <w:rPr>
                <w:b/>
                <w:color w:val="FFFFFF"/>
                <w:sz w:val="20"/>
              </w:rPr>
              <w:t>Lot</w:t>
            </w:r>
          </w:p>
        </w:tc>
        <w:tc>
          <w:tcPr>
            <w:tcW w:type="dxa" w:w="1233"/>
            <w:shd w:val="clear" w:fill="059669"/>
          </w:tcPr>
          <w:p>
            <w:r>
              <w:rPr>
                <w:b/>
                <w:color w:val="FFFFFF"/>
                <w:sz w:val="20"/>
              </w:rPr>
              <w:t>Jalon</w:t>
            </w:r>
          </w:p>
        </w:tc>
        <w:tc>
          <w:tcPr>
            <w:tcW w:type="dxa" w:w="1233"/>
            <w:shd w:val="clear" w:fill="059669"/>
          </w:tcPr>
          <w:p>
            <w:r>
              <w:rPr>
                <w:b/>
                <w:color w:val="FFFFFF"/>
                <w:sz w:val="20"/>
              </w:rPr>
              <w:t>A (Autorité)</w:t>
            </w:r>
          </w:p>
        </w:tc>
        <w:tc>
          <w:tcPr>
            <w:tcW w:type="dxa" w:w="1233"/>
            <w:shd w:val="clear" w:fill="059669"/>
          </w:tcPr>
          <w:p>
            <w:r>
              <w:rPr>
                <w:b/>
                <w:color w:val="FFFFFF"/>
                <w:sz w:val="20"/>
              </w:rPr>
              <w:t>R (Exécution)</w:t>
            </w:r>
          </w:p>
        </w:tc>
        <w:tc>
          <w:tcPr>
            <w:tcW w:type="dxa" w:w="1233"/>
            <w:shd w:val="clear" w:fill="059669"/>
          </w:tcPr>
          <w:p>
            <w:r>
              <w:rPr>
                <w:b/>
                <w:color w:val="FFFFFF"/>
                <w:sz w:val="20"/>
              </w:rPr>
              <w:t>C (Consultés)</w:t>
            </w:r>
          </w:p>
        </w:tc>
        <w:tc>
          <w:tcPr>
            <w:tcW w:type="dxa" w:w="1233"/>
            <w:shd w:val="clear" w:fill="059669"/>
          </w:tcPr>
          <w:p>
            <w:r>
              <w:rPr>
                <w:b/>
                <w:color w:val="FFFFFF"/>
                <w:sz w:val="20"/>
              </w:rPr>
              <w:t>I (Informés)</w:t>
            </w:r>
          </w:p>
        </w:tc>
        <w:tc>
          <w:tcPr>
            <w:tcW w:type="dxa" w:w="1233"/>
            <w:shd w:val="clear" w:fill="059669"/>
          </w:tcPr>
          <w:p>
            <w:r>
              <w:rPr>
                <w:b/>
                <w:color w:val="FFFFFF"/>
                <w:sz w:val="20"/>
              </w:rPr>
              <w:t>SLA (h)</w:t>
            </w:r>
          </w:p>
        </w:tc>
      </w:tr>
      <w:tr>
        <w:tc>
          <w:tcPr>
            <w:tcW w:type="dxa" w:w="1233"/>
          </w:tcPr>
          <w:p>
            <w:r>
              <w:rPr>
                <w:sz w:val="20"/>
              </w:rPr>
              <w:t>Go/No-Go H-24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Événement B2B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H-24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Sponsor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Chef de projet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Sécurité; Régie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Com/Presse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48</w:t>
            </w:r>
          </w:p>
        </w:tc>
      </w:tr>
      <w:tr>
        <w:tc>
          <w:tcPr>
            <w:tcW w:type="dxa" w:w="1233"/>
          </w:tcPr>
          <w:p>
            <w:r>
              <w:rPr>
                <w:sz w:val="20"/>
              </w:rPr>
              <w:t>Plan technique validé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Technique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H-12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Régie générale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Ingé son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Ingé lumière; IT/Stream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Sponsor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24</w:t>
            </w:r>
          </w:p>
        </w:tc>
      </w:tr>
      <w:tr>
        <w:tc>
          <w:tcPr>
            <w:tcW w:type="dxa" w:w="1233"/>
          </w:tcPr>
          <w:p>
            <w:r>
              <w:rPr>
                <w:sz w:val="20"/>
              </w:rPr>
              <w:t>PCS &amp; ERP conformes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Sécurité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H-6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Resp. sécurité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Agent principal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Régie; Juridique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Sponsor; DP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24</w:t>
            </w:r>
          </w:p>
        </w:tc>
      </w:tr>
      <w:tr>
        <w:tc>
          <w:tcPr>
            <w:tcW w:type="dxa" w:w="1233"/>
          </w:tcPr>
          <w:p>
            <w:r>
              <w:rPr>
                <w:sz w:val="20"/>
              </w:rPr>
              <w:t>Billetterie &amp; QR opérationnels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Accueil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H-3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IT/Stream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Chef Accueil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Régie; Com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Sponsor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12</w:t>
            </w:r>
          </w:p>
        </w:tc>
      </w:tr>
      <w:tr>
        <w:tc>
          <w:tcPr>
            <w:tcW w:type="dxa" w:w="1233"/>
          </w:tcPr>
          <w:p>
            <w:r>
              <w:rPr>
                <w:sz w:val="20"/>
              </w:rPr>
              <w:t>Allergènes validés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Hospitalité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H-1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Hospitalité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Traiteur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HSE; Logistique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Sponsor; Com</w:t>
            </w:r>
          </w:p>
        </w:tc>
        <w:tc>
          <w:tcPr>
            <w:tcW w:type="dxa" w:w="1233"/>
          </w:tcPr>
          <w:p>
            <w:r>
              <w:rPr>
                <w:sz w:val="20"/>
              </w:rPr>
              <w:t>12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907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0D9488"/>
        <w:sz w:val="18"/>
      </w:rPr>
      <w:t>lecoursgratuit.com — Matrice RACI (Vue Comité)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