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5364"/>
      </w:tblGrid>
      <w:tr>
        <w:tc>
          <w:tcPr>
            <w:tcW w:type="dxa" w:w="15364"/>
            <w:shd w:val="clear" w:color="auto" w:fill="1A73E8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40"/>
              </w:rPr>
              <w:t>INCOTERMS 2020 — Tableau A4 imprimable (Cascade Colors)</w:t>
            </w:r>
          </w:p>
        </w:tc>
      </w:tr>
    </w:tbl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073"/>
        <w:gridCol w:w="3073"/>
        <w:gridCol w:w="3073"/>
        <w:gridCol w:w="3073"/>
        <w:gridCol w:w="3073"/>
      </w:tblGrid>
      <w:tr>
        <w:tc>
          <w:tcPr>
            <w:tcW w:type="dxa" w:w="3073"/>
            <w:shd w:val="clear" w:color="auto" w:fill="1A73E8"/>
          </w:tcPr>
          <w:p>
            <w:r>
              <w:t xml:space="preserve"> </w:t>
            </w:r>
          </w:p>
        </w:tc>
        <w:tc>
          <w:tcPr>
            <w:tcW w:type="dxa" w:w="3073"/>
            <w:shd w:val="clear" w:color="auto" w:fill="00A9E0"/>
          </w:tcPr>
          <w:p>
            <w:r>
              <w:t xml:space="preserve"> </w:t>
            </w:r>
          </w:p>
        </w:tc>
        <w:tc>
          <w:tcPr>
            <w:tcW w:type="dxa" w:w="3073"/>
            <w:shd w:val="clear" w:color="auto" w:fill="00B8A9"/>
          </w:tcPr>
          <w:p>
            <w:r>
              <w:t xml:space="preserve"> </w:t>
            </w:r>
          </w:p>
        </w:tc>
        <w:tc>
          <w:tcPr>
            <w:tcW w:type="dxa" w:w="3073"/>
            <w:shd w:val="clear" w:color="auto" w:fill="34A853"/>
          </w:tcPr>
          <w:p>
            <w:r>
              <w:t xml:space="preserve"> </w:t>
            </w:r>
          </w:p>
        </w:tc>
        <w:tc>
          <w:tcPr>
            <w:tcW w:type="dxa" w:w="3073"/>
            <w:shd w:val="clear" w:color="auto" w:fill="FB8C00"/>
          </w:tcPr>
          <w:p>
            <w:r>
              <w:t xml:space="preserve"> 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21"/>
        <w:gridCol w:w="5121"/>
        <w:gridCol w:w="5121"/>
      </w:tblGrid>
      <w:tr>
        <w:tc>
          <w:tcPr>
            <w:tcW w:type="dxa" w:w="5121"/>
            <w:shd w:val="clear" w:color="auto" w:fill="E8F0FE"/>
          </w:tcPr>
          <w:p>
            <w:r>
              <w:rPr>
                <w:rFonts w:ascii="Calibri" w:hAnsi="Calibri"/>
                <w:sz w:val="20"/>
              </w:rPr>
              <w:t>Coûts vendeur (col. 4)</w:t>
            </w:r>
          </w:p>
        </w:tc>
        <w:tc>
          <w:tcPr>
            <w:tcW w:type="dxa" w:w="5121"/>
            <w:shd w:val="clear" w:color="auto" w:fill="FFF3E0"/>
          </w:tcPr>
          <w:p>
            <w:r>
              <w:rPr>
                <w:rFonts w:ascii="Calibri" w:hAnsi="Calibri"/>
                <w:sz w:val="20"/>
              </w:rPr>
              <w:t>Coûts acheteur (col. 5)</w:t>
            </w:r>
          </w:p>
        </w:tc>
        <w:tc>
          <w:tcPr>
            <w:tcW w:type="dxa" w:w="5121"/>
            <w:shd w:val="clear" w:color="auto" w:fill="E0F7FA"/>
          </w:tcPr>
          <w:p>
            <w:r>
              <w:rPr>
                <w:rFonts w:ascii="Calibri" w:hAnsi="Calibri"/>
                <w:sz w:val="20"/>
              </w:rPr>
              <w:t>Transfert de risque (col. 3)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95"/>
        <w:gridCol w:w="2195"/>
        <w:gridCol w:w="2195"/>
        <w:gridCol w:w="2195"/>
        <w:gridCol w:w="2195"/>
        <w:gridCol w:w="2195"/>
        <w:gridCol w:w="2195"/>
      </w:tblGrid>
      <w:tr>
        <w:trPr>
          <w:tblHeader w:val="true"/>
        </w:trPr>
        <w:tc>
          <w:tcPr>
            <w:tcW w:type="dxa" w:w="1928"/>
            <w:shd w:val="clear" w:color="auto" w:fill="1A73E8"/>
            <w:tcW w:w="1927" w:type="dxa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1"/>
              </w:rPr>
              <w:t>Incoterm</w:t>
            </w:r>
          </w:p>
        </w:tc>
        <w:tc>
          <w:tcPr>
            <w:tcW w:type="dxa" w:w="1134"/>
            <w:shd w:val="clear" w:color="auto" w:fill="1A73E8"/>
            <w:tcW w:w="1134" w:type="dxa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1"/>
              </w:rPr>
              <w:t>Mode</w:t>
            </w:r>
          </w:p>
        </w:tc>
        <w:tc>
          <w:tcPr>
            <w:tcW w:type="dxa" w:w="2608"/>
            <w:shd w:val="clear" w:color="auto" w:fill="1A73E8"/>
            <w:tcW w:w="2608" w:type="dxa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1"/>
              </w:rPr>
              <w:t>Transfert des risques</w:t>
            </w:r>
          </w:p>
        </w:tc>
        <w:tc>
          <w:tcPr>
            <w:tcW w:type="dxa" w:w="2494"/>
            <w:shd w:val="clear" w:color="auto" w:fill="1A73E8"/>
            <w:tcW w:w="2494" w:type="dxa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1"/>
              </w:rPr>
              <w:t>Frais vendeur (principaux)</w:t>
            </w:r>
          </w:p>
        </w:tc>
        <w:tc>
          <w:tcPr>
            <w:tcW w:type="dxa" w:w="2494"/>
            <w:shd w:val="clear" w:color="auto" w:fill="1A73E8"/>
            <w:tcW w:w="2494" w:type="dxa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1"/>
              </w:rPr>
              <w:t>Frais acheteur (principaux)</w:t>
            </w:r>
          </w:p>
        </w:tc>
        <w:tc>
          <w:tcPr>
            <w:tcW w:type="dxa" w:w="2041"/>
            <w:shd w:val="clear" w:color="auto" w:fill="1A73E8"/>
            <w:tcW w:w="2041" w:type="dxa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1"/>
              </w:rPr>
              <w:t>Douanes &amp; assurance</w:t>
            </w:r>
          </w:p>
        </w:tc>
        <w:tc>
          <w:tcPr>
            <w:tcW w:type="dxa" w:w="2665"/>
            <w:shd w:val="clear" w:color="auto" w:fill="1A73E8"/>
            <w:tcW w:w="2664" w:type="dxa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1"/>
              </w:rPr>
              <w:t>Exemple d’usage</w:t>
            </w:r>
          </w:p>
        </w:tc>
      </w:tr>
      <w:tr>
        <w:tc>
          <w:tcPr>
            <w:tcW w:type="dxa" w:w="1928"/>
            <w:shd w:val="clear" w:color="auto" w:fill="E3F2FD"/>
            <w:tcW w:w="1927" w:type="dxa"/>
          </w:tcPr>
          <w:p>
            <w:r>
              <w:rPr>
                <w:rFonts w:ascii="Calibri" w:hAnsi="Calibri"/>
                <w:sz w:val="19"/>
              </w:rPr>
              <w:t>EXW — Ex Works</w:t>
            </w:r>
          </w:p>
        </w:tc>
        <w:tc>
          <w:tcPr>
            <w:tcW w:type="dxa" w:w="1134"/>
            <w:shd w:val="clear" w:color="auto" w:fill="E3F2FD"/>
            <w:tcW w:w="1134" w:type="dxa"/>
          </w:tcPr>
          <w:p>
            <w:r>
              <w:rPr>
                <w:rFonts w:ascii="Calibri" w:hAnsi="Calibri"/>
                <w:sz w:val="19"/>
              </w:rPr>
              <w:t>Tous</w:t>
            </w:r>
          </w:p>
        </w:tc>
        <w:tc>
          <w:tcPr>
            <w:tcW w:type="dxa" w:w="2608"/>
            <w:shd w:val="clear" w:color="auto" w:fill="E3F2FD"/>
            <w:tcW w:w="2608" w:type="dxa"/>
          </w:tcPr>
          <w:p>
            <w:r>
              <w:rPr>
                <w:rFonts w:ascii="Calibri" w:hAnsi="Calibri"/>
                <w:sz w:val="19"/>
              </w:rPr>
              <w:t>Risque chez le vendeur, à la mise à disposition (non chargé).</w:t>
            </w:r>
          </w:p>
        </w:tc>
        <w:tc>
          <w:tcPr>
            <w:tcW w:type="dxa" w:w="2494"/>
            <w:shd w:val="clear" w:color="auto" w:fill="E3F2FD"/>
            <w:tcW w:w="2494" w:type="dxa"/>
          </w:tcPr>
          <w:p>
            <w:r>
              <w:rPr>
                <w:rFonts w:ascii="Calibri" w:hAnsi="Calibri"/>
                <w:sz w:val="19"/>
              </w:rPr>
              <w:t>Mise à dispo, emballage.</w:t>
            </w:r>
          </w:p>
        </w:tc>
        <w:tc>
          <w:tcPr>
            <w:tcW w:type="dxa" w:w="2494"/>
            <w:shd w:val="clear" w:color="auto" w:fill="E3F2FD"/>
            <w:tcW w:w="2494" w:type="dxa"/>
          </w:tcPr>
          <w:p>
            <w:r>
              <w:rPr>
                <w:rFonts w:ascii="Calibri" w:hAnsi="Calibri"/>
                <w:sz w:val="19"/>
              </w:rPr>
              <w:t>Chargement, tous transports, assurances, formalités export &amp; import.</w:t>
            </w:r>
          </w:p>
        </w:tc>
        <w:tc>
          <w:tcPr>
            <w:tcW w:type="dxa" w:w="2041"/>
            <w:shd w:val="clear" w:color="auto" w:fill="E3F2FD"/>
            <w:tcW w:w="2041" w:type="dxa"/>
          </w:tcPr>
          <w:p>
            <w:r>
              <w:rPr>
                <w:rFonts w:ascii="Calibri" w:hAnsi="Calibri"/>
                <w:sz w:val="19"/>
              </w:rPr>
              <w:t>Export: Acheteur • Import: Acheteur — Assurance: optionnelle (acheteur).</w:t>
            </w:r>
          </w:p>
        </w:tc>
        <w:tc>
          <w:tcPr>
            <w:tcW w:type="dxa" w:w="2665"/>
            <w:shd w:val="clear" w:color="auto" w:fill="E3F2FD"/>
            <w:tcW w:w="2664" w:type="dxa"/>
          </w:tcPr>
          <w:p>
            <w:r>
              <w:rPr>
                <w:rFonts w:ascii="Calibri" w:hAnsi="Calibri"/>
                <w:sz w:val="19"/>
              </w:rPr>
              <w:t>Collecte par le transporteur de l’acheteur à l’usine de Tanger.</w:t>
            </w:r>
          </w:p>
        </w:tc>
      </w:tr>
      <w:tr>
        <w:tc>
          <w:tcPr>
            <w:tcW w:type="dxa" w:w="1928"/>
            <w:shd w:val="clear" w:color="auto" w:fill="E1F5FE"/>
            <w:tcW w:w="1927" w:type="dxa"/>
          </w:tcPr>
          <w:p>
            <w:r>
              <w:rPr>
                <w:rFonts w:ascii="Calibri" w:hAnsi="Calibri"/>
                <w:sz w:val="19"/>
              </w:rPr>
              <w:t>FCA — Free Carrier</w:t>
            </w:r>
          </w:p>
        </w:tc>
        <w:tc>
          <w:tcPr>
            <w:tcW w:type="dxa" w:w="1134"/>
            <w:shd w:val="clear" w:color="auto" w:fill="E1F5FE"/>
            <w:tcW w:w="1134" w:type="dxa"/>
          </w:tcPr>
          <w:p>
            <w:r>
              <w:rPr>
                <w:rFonts w:ascii="Calibri" w:hAnsi="Calibri"/>
                <w:sz w:val="19"/>
              </w:rPr>
              <w:t>Tous</w:t>
            </w:r>
          </w:p>
        </w:tc>
        <w:tc>
          <w:tcPr>
            <w:tcW w:type="dxa" w:w="2608"/>
            <w:shd w:val="clear" w:color="auto" w:fill="E1F5FE"/>
            <w:tcW w:w="2608" w:type="dxa"/>
          </w:tcPr>
          <w:p>
            <w:r>
              <w:rPr>
                <w:rFonts w:ascii="Calibri" w:hAnsi="Calibri"/>
                <w:sz w:val="19"/>
              </w:rPr>
              <w:t>À la remise au 1er transporteur (chargé).</w:t>
            </w:r>
          </w:p>
        </w:tc>
        <w:tc>
          <w:tcPr>
            <w:tcW w:type="dxa" w:w="2494"/>
            <w:shd w:val="clear" w:color="auto" w:fill="E1F5FE"/>
            <w:tcW w:w="2494" w:type="dxa"/>
          </w:tcPr>
          <w:p>
            <w:r>
              <w:rPr>
                <w:rFonts w:ascii="Calibri" w:hAnsi="Calibri"/>
                <w:sz w:val="19"/>
              </w:rPr>
              <w:t>Chargement, pré-acheminement jusqu’au 1er transporteur, dédouanement export.</w:t>
            </w:r>
          </w:p>
        </w:tc>
        <w:tc>
          <w:tcPr>
            <w:tcW w:type="dxa" w:w="2494"/>
            <w:shd w:val="clear" w:color="auto" w:fill="E1F5FE"/>
            <w:tcW w:w="2494" w:type="dxa"/>
          </w:tcPr>
          <w:p>
            <w:r>
              <w:rPr>
                <w:rFonts w:ascii="Calibri" w:hAnsi="Calibri"/>
                <w:sz w:val="19"/>
              </w:rPr>
              <w:t>Transport principal, post-acheminement, assurance, droits import.</w:t>
            </w:r>
          </w:p>
        </w:tc>
        <w:tc>
          <w:tcPr>
            <w:tcW w:type="dxa" w:w="2041"/>
            <w:shd w:val="clear" w:color="auto" w:fill="E1F5FE"/>
            <w:tcW w:w="2041" w:type="dxa"/>
          </w:tcPr>
          <w:p>
            <w:r>
              <w:rPr>
                <w:rFonts w:ascii="Calibri" w:hAnsi="Calibri"/>
                <w:sz w:val="19"/>
              </w:rPr>
              <w:t>Export: Vendeur • Import: Acheteur — Assurance: optionnelle.</w:t>
            </w:r>
          </w:p>
        </w:tc>
        <w:tc>
          <w:tcPr>
            <w:tcW w:type="dxa" w:w="2665"/>
            <w:shd w:val="clear" w:color="auto" w:fill="E1F5FE"/>
            <w:tcW w:w="2664" w:type="dxa"/>
          </w:tcPr>
          <w:p>
            <w:r>
              <w:rPr>
                <w:rFonts w:ascii="Calibri" w:hAnsi="Calibri"/>
                <w:sz w:val="19"/>
              </w:rPr>
              <w:t>Remise au transporteur à l’aéroport de Casablanca (air cargo).</w:t>
            </w:r>
          </w:p>
        </w:tc>
      </w:tr>
      <w:tr>
        <w:tc>
          <w:tcPr>
            <w:tcW w:type="dxa" w:w="1928"/>
            <w:shd w:val="clear" w:color="auto" w:fill="E0F7FA"/>
            <w:tcW w:w="1927" w:type="dxa"/>
          </w:tcPr>
          <w:p>
            <w:r>
              <w:rPr>
                <w:rFonts w:ascii="Calibri" w:hAnsi="Calibri"/>
                <w:sz w:val="19"/>
              </w:rPr>
              <w:t>FAS — Free Alongside Ship</w:t>
            </w:r>
          </w:p>
        </w:tc>
        <w:tc>
          <w:tcPr>
            <w:tcW w:type="dxa" w:w="1134"/>
            <w:shd w:val="clear" w:color="auto" w:fill="E0F7FA"/>
            <w:tcW w:w="1134" w:type="dxa"/>
          </w:tcPr>
          <w:p>
            <w:r>
              <w:rPr>
                <w:rFonts w:ascii="Calibri" w:hAnsi="Calibri"/>
                <w:sz w:val="19"/>
              </w:rPr>
              <w:t>Maritime</w:t>
            </w:r>
          </w:p>
        </w:tc>
        <w:tc>
          <w:tcPr>
            <w:tcW w:type="dxa" w:w="2608"/>
            <w:shd w:val="clear" w:color="auto" w:fill="E0F7FA"/>
            <w:tcW w:w="2608" w:type="dxa"/>
          </w:tcPr>
          <w:p>
            <w:r>
              <w:rPr>
                <w:rFonts w:ascii="Calibri" w:hAnsi="Calibri"/>
                <w:sz w:val="19"/>
              </w:rPr>
              <w:t>Le long du navire au port d’embarquement.</w:t>
            </w:r>
          </w:p>
        </w:tc>
        <w:tc>
          <w:tcPr>
            <w:tcW w:type="dxa" w:w="2494"/>
            <w:shd w:val="clear" w:color="auto" w:fill="E0F7FA"/>
            <w:tcW w:w="2494" w:type="dxa"/>
          </w:tcPr>
          <w:p>
            <w:r>
              <w:rPr>
                <w:rFonts w:ascii="Calibri" w:hAnsi="Calibri"/>
                <w:sz w:val="19"/>
              </w:rPr>
              <w:t>Pré-acheminement, mise à quai, dédouanement export.</w:t>
            </w:r>
          </w:p>
        </w:tc>
        <w:tc>
          <w:tcPr>
            <w:tcW w:type="dxa" w:w="2494"/>
            <w:shd w:val="clear" w:color="auto" w:fill="E0F7FA"/>
            <w:tcW w:w="2494" w:type="dxa"/>
          </w:tcPr>
          <w:p>
            <w:r>
              <w:rPr>
                <w:rFonts w:ascii="Calibri" w:hAnsi="Calibri"/>
                <w:sz w:val="19"/>
              </w:rPr>
              <w:t>Chargement à bord, fret, assurance, post-acheminement, droits import.</w:t>
            </w:r>
          </w:p>
        </w:tc>
        <w:tc>
          <w:tcPr>
            <w:tcW w:type="dxa" w:w="2041"/>
            <w:shd w:val="clear" w:color="auto" w:fill="E0F7FA"/>
            <w:tcW w:w="2041" w:type="dxa"/>
          </w:tcPr>
          <w:p>
            <w:r>
              <w:rPr>
                <w:rFonts w:ascii="Calibri" w:hAnsi="Calibri"/>
                <w:sz w:val="19"/>
              </w:rPr>
              <w:t>Export: Vendeur • Import: Acheteur — Assurance: optionnelle (acheteur).</w:t>
            </w:r>
          </w:p>
        </w:tc>
        <w:tc>
          <w:tcPr>
            <w:tcW w:type="dxa" w:w="2665"/>
            <w:shd w:val="clear" w:color="auto" w:fill="E0F7FA"/>
            <w:tcW w:w="2664" w:type="dxa"/>
          </w:tcPr>
          <w:p>
            <w:r>
              <w:rPr>
                <w:rFonts w:ascii="Calibri" w:hAnsi="Calibri"/>
                <w:sz w:val="19"/>
              </w:rPr>
              <w:t>Vrac livré le long du navire à Jorf Lasfar.</w:t>
            </w:r>
          </w:p>
        </w:tc>
      </w:tr>
      <w:tr>
        <w:tc>
          <w:tcPr>
            <w:tcW w:type="dxa" w:w="1928"/>
            <w:shd w:val="clear" w:color="auto" w:fill="E8F5E9"/>
            <w:tcW w:w="1927" w:type="dxa"/>
          </w:tcPr>
          <w:p>
            <w:r>
              <w:rPr>
                <w:rFonts w:ascii="Calibri" w:hAnsi="Calibri"/>
                <w:sz w:val="19"/>
              </w:rPr>
              <w:t>FOB — Free On Board</w:t>
            </w:r>
          </w:p>
        </w:tc>
        <w:tc>
          <w:tcPr>
            <w:tcW w:type="dxa" w:w="1134"/>
            <w:shd w:val="clear" w:color="auto" w:fill="E8F5E9"/>
            <w:tcW w:w="1134" w:type="dxa"/>
          </w:tcPr>
          <w:p>
            <w:r>
              <w:rPr>
                <w:rFonts w:ascii="Calibri" w:hAnsi="Calibri"/>
                <w:sz w:val="19"/>
              </w:rPr>
              <w:t>Maritime</w:t>
            </w:r>
          </w:p>
        </w:tc>
        <w:tc>
          <w:tcPr>
            <w:tcW w:type="dxa" w:w="2608"/>
            <w:shd w:val="clear" w:color="auto" w:fill="E8F5E9"/>
            <w:tcW w:w="2608" w:type="dxa"/>
          </w:tcPr>
          <w:p>
            <w:r>
              <w:rPr>
                <w:rFonts w:ascii="Calibri" w:hAnsi="Calibri"/>
                <w:sz w:val="19"/>
              </w:rPr>
              <w:t>À bord du navire au port d’embarquement.</w:t>
            </w:r>
          </w:p>
        </w:tc>
        <w:tc>
          <w:tcPr>
            <w:tcW w:type="dxa" w:w="2494"/>
            <w:shd w:val="clear" w:color="auto" w:fill="E8F5E9"/>
            <w:tcW w:w="2494" w:type="dxa"/>
          </w:tcPr>
          <w:p>
            <w:r>
              <w:rPr>
                <w:rFonts w:ascii="Calibri" w:hAnsi="Calibri"/>
                <w:sz w:val="19"/>
              </w:rPr>
              <w:t>Pré-acheminement, chargement à bord, dédouanement export.</w:t>
            </w:r>
          </w:p>
        </w:tc>
        <w:tc>
          <w:tcPr>
            <w:tcW w:type="dxa" w:w="2494"/>
            <w:shd w:val="clear" w:color="auto" w:fill="E8F5E9"/>
            <w:tcW w:w="2494" w:type="dxa"/>
          </w:tcPr>
          <w:p>
            <w:r>
              <w:rPr>
                <w:rFonts w:ascii="Calibri" w:hAnsi="Calibri"/>
                <w:sz w:val="19"/>
              </w:rPr>
              <w:t>Fret, assurance, post-acheminement, droits import.</w:t>
            </w:r>
          </w:p>
        </w:tc>
        <w:tc>
          <w:tcPr>
            <w:tcW w:type="dxa" w:w="2041"/>
            <w:shd w:val="clear" w:color="auto" w:fill="E8F5E9"/>
            <w:tcW w:w="2041" w:type="dxa"/>
          </w:tcPr>
          <w:p>
            <w:r>
              <w:rPr>
                <w:rFonts w:ascii="Calibri" w:hAnsi="Calibri"/>
                <w:sz w:val="19"/>
              </w:rPr>
              <w:t>Export: Vendeur • Import: Acheteur — Assurance: optionnelle (acheteur).</w:t>
            </w:r>
          </w:p>
        </w:tc>
        <w:tc>
          <w:tcPr>
            <w:tcW w:type="dxa" w:w="2665"/>
            <w:shd w:val="clear" w:color="auto" w:fill="E8F5E9"/>
            <w:tcW w:w="2664" w:type="dxa"/>
          </w:tcPr>
          <w:p>
            <w:r>
              <w:rPr>
                <w:rFonts w:ascii="Calibri" w:hAnsi="Calibri"/>
                <w:sz w:val="19"/>
              </w:rPr>
              <w:t>Conteneur embarqué à Casablanca pour Le Havre.</w:t>
            </w:r>
          </w:p>
        </w:tc>
      </w:tr>
      <w:tr>
        <w:tc>
          <w:tcPr>
            <w:tcW w:type="dxa" w:w="1928"/>
            <w:shd w:val="clear" w:color="auto" w:fill="FFFDE7"/>
            <w:tcW w:w="1927" w:type="dxa"/>
          </w:tcPr>
          <w:p>
            <w:r>
              <w:rPr>
                <w:rFonts w:ascii="Calibri" w:hAnsi="Calibri"/>
                <w:sz w:val="19"/>
              </w:rPr>
              <w:t>CFR — Cost and Freight</w:t>
            </w:r>
          </w:p>
        </w:tc>
        <w:tc>
          <w:tcPr>
            <w:tcW w:type="dxa" w:w="1134"/>
            <w:shd w:val="clear" w:color="auto" w:fill="FFFDE7"/>
            <w:tcW w:w="1134" w:type="dxa"/>
          </w:tcPr>
          <w:p>
            <w:r>
              <w:rPr>
                <w:rFonts w:ascii="Calibri" w:hAnsi="Calibri"/>
                <w:sz w:val="19"/>
              </w:rPr>
              <w:t>Maritime</w:t>
            </w:r>
          </w:p>
        </w:tc>
        <w:tc>
          <w:tcPr>
            <w:tcW w:type="dxa" w:w="2608"/>
            <w:shd w:val="clear" w:color="auto" w:fill="FFFDE7"/>
            <w:tcW w:w="2608" w:type="dxa"/>
          </w:tcPr>
          <w:p>
            <w:r>
              <w:rPr>
                <w:rFonts w:ascii="Calibri" w:hAnsi="Calibri"/>
                <w:sz w:val="19"/>
              </w:rPr>
              <w:t>À bord du navire au port d’embarquement (risque → acheteur).</w:t>
            </w:r>
          </w:p>
        </w:tc>
        <w:tc>
          <w:tcPr>
            <w:tcW w:type="dxa" w:w="2494"/>
            <w:shd w:val="clear" w:color="auto" w:fill="FFFDE7"/>
            <w:tcW w:w="2494" w:type="dxa"/>
          </w:tcPr>
          <w:p>
            <w:r>
              <w:rPr>
                <w:rFonts w:ascii="Calibri" w:hAnsi="Calibri"/>
                <w:sz w:val="19"/>
              </w:rPr>
              <w:t>Pré-acheminement, chargement, dédouanement export, fret jusqu’au port de destination.</w:t>
            </w:r>
          </w:p>
        </w:tc>
        <w:tc>
          <w:tcPr>
            <w:tcW w:type="dxa" w:w="2494"/>
            <w:shd w:val="clear" w:color="auto" w:fill="FFFDE7"/>
            <w:tcW w:w="2494" w:type="dxa"/>
          </w:tcPr>
          <w:p>
            <w:r>
              <w:rPr>
                <w:rFonts w:ascii="Calibri" w:hAnsi="Calibri"/>
                <w:sz w:val="19"/>
              </w:rPr>
              <w:t>Assurance (si souhaitée), déchargement, post-acheminement, droits import.</w:t>
            </w:r>
          </w:p>
        </w:tc>
        <w:tc>
          <w:tcPr>
            <w:tcW w:type="dxa" w:w="2041"/>
            <w:shd w:val="clear" w:color="auto" w:fill="FFFDE7"/>
            <w:tcW w:w="2041" w:type="dxa"/>
          </w:tcPr>
          <w:p>
            <w:r>
              <w:rPr>
                <w:rFonts w:ascii="Calibri" w:hAnsi="Calibri"/>
                <w:sz w:val="19"/>
              </w:rPr>
              <w:t>Export: Vendeur • Import: Acheteur — Assurance: optionnelle (acheteur).</w:t>
            </w:r>
          </w:p>
        </w:tc>
        <w:tc>
          <w:tcPr>
            <w:tcW w:type="dxa" w:w="2665"/>
            <w:shd w:val="clear" w:color="auto" w:fill="FFFDE7"/>
            <w:tcW w:w="2664" w:type="dxa"/>
          </w:tcPr>
          <w:p>
            <w:r>
              <w:rPr>
                <w:rFonts w:ascii="Calibri" w:hAnsi="Calibri"/>
                <w:sz w:val="19"/>
              </w:rPr>
              <w:t>Fret payé jusqu’à Marseille, risque bascule à Tanger Med.</w:t>
            </w:r>
          </w:p>
        </w:tc>
      </w:tr>
      <w:tr>
        <w:tc>
          <w:tcPr>
            <w:tcW w:type="dxa" w:w="1928"/>
            <w:shd w:val="clear" w:color="auto" w:fill="FFF3E0"/>
            <w:tcW w:w="1927" w:type="dxa"/>
          </w:tcPr>
          <w:p>
            <w:r>
              <w:rPr>
                <w:rFonts w:ascii="Calibri" w:hAnsi="Calibri"/>
                <w:sz w:val="19"/>
              </w:rPr>
              <w:t>CIF — Cost, Insurance &amp; Freight</w:t>
            </w:r>
          </w:p>
        </w:tc>
        <w:tc>
          <w:tcPr>
            <w:tcW w:type="dxa" w:w="1134"/>
            <w:shd w:val="clear" w:color="auto" w:fill="FFF3E0"/>
            <w:tcW w:w="1134" w:type="dxa"/>
          </w:tcPr>
          <w:p>
            <w:r>
              <w:rPr>
                <w:rFonts w:ascii="Calibri" w:hAnsi="Calibri"/>
                <w:sz w:val="19"/>
              </w:rPr>
              <w:t>Maritime</w:t>
            </w:r>
          </w:p>
        </w:tc>
        <w:tc>
          <w:tcPr>
            <w:tcW w:type="dxa" w:w="2608"/>
            <w:shd w:val="clear" w:color="auto" w:fill="FFF3E0"/>
            <w:tcW w:w="2608" w:type="dxa"/>
          </w:tcPr>
          <w:p>
            <w:r>
              <w:rPr>
                <w:rFonts w:ascii="Calibri" w:hAnsi="Calibri"/>
                <w:sz w:val="19"/>
              </w:rPr>
              <w:t>À bord du navire au port d’embarquement.</w:t>
            </w:r>
          </w:p>
        </w:tc>
        <w:tc>
          <w:tcPr>
            <w:tcW w:type="dxa" w:w="2494"/>
            <w:shd w:val="clear" w:color="auto" w:fill="FFF3E0"/>
            <w:tcW w:w="2494" w:type="dxa"/>
          </w:tcPr>
          <w:p>
            <w:r>
              <w:rPr>
                <w:rFonts w:ascii="Calibri" w:hAnsi="Calibri"/>
                <w:sz w:val="19"/>
              </w:rPr>
              <w:t>Pré-acheminement, chargement, dédouanement export, fret + assurance jusqu’au port de destination.</w:t>
            </w:r>
          </w:p>
        </w:tc>
        <w:tc>
          <w:tcPr>
            <w:tcW w:type="dxa" w:w="2494"/>
            <w:shd w:val="clear" w:color="auto" w:fill="FFF3E0"/>
            <w:tcW w:w="2494" w:type="dxa"/>
          </w:tcPr>
          <w:p>
            <w:r>
              <w:rPr>
                <w:rFonts w:ascii="Calibri" w:hAnsi="Calibri"/>
                <w:sz w:val="19"/>
              </w:rPr>
              <w:t>Déchargement, post-acheminement, droits import.</w:t>
            </w:r>
          </w:p>
        </w:tc>
        <w:tc>
          <w:tcPr>
            <w:tcW w:type="dxa" w:w="2041"/>
            <w:shd w:val="clear" w:color="auto" w:fill="FFF3E0"/>
            <w:tcW w:w="2041" w:type="dxa"/>
          </w:tcPr>
          <w:p>
            <w:r>
              <w:rPr>
                <w:rFonts w:ascii="Calibri" w:hAnsi="Calibri"/>
                <w:sz w:val="19"/>
              </w:rPr>
              <w:t>Export: Vendeur • Import: Acheteur — Assurance: obligatoire vendeur (ICC(C) min.).</w:t>
            </w:r>
          </w:p>
        </w:tc>
        <w:tc>
          <w:tcPr>
            <w:tcW w:type="dxa" w:w="2665"/>
            <w:shd w:val="clear" w:color="auto" w:fill="FFF3E0"/>
            <w:tcW w:w="2664" w:type="dxa"/>
          </w:tcPr>
          <w:p>
            <w:r>
              <w:rPr>
                <w:rFonts w:ascii="Calibri" w:hAnsi="Calibri"/>
                <w:sz w:val="19"/>
              </w:rPr>
              <w:t>Export agro Agadir → Rotterdam assuré par le vendeur.</w:t>
            </w:r>
          </w:p>
        </w:tc>
      </w:tr>
      <w:tr>
        <w:tc>
          <w:tcPr>
            <w:tcW w:type="dxa" w:w="1928"/>
            <w:shd w:val="clear" w:color="auto" w:fill="FCE4EC"/>
            <w:tcW w:w="1927" w:type="dxa"/>
          </w:tcPr>
          <w:p>
            <w:r>
              <w:rPr>
                <w:rFonts w:ascii="Calibri" w:hAnsi="Calibri"/>
                <w:sz w:val="19"/>
              </w:rPr>
              <w:t>CPT — Carriage Paid To</w:t>
            </w:r>
          </w:p>
        </w:tc>
        <w:tc>
          <w:tcPr>
            <w:tcW w:type="dxa" w:w="1134"/>
            <w:shd w:val="clear" w:color="auto" w:fill="FCE4EC"/>
            <w:tcW w:w="1134" w:type="dxa"/>
          </w:tcPr>
          <w:p>
            <w:r>
              <w:rPr>
                <w:rFonts w:ascii="Calibri" w:hAnsi="Calibri"/>
                <w:sz w:val="19"/>
              </w:rPr>
              <w:t>Tous</w:t>
            </w:r>
          </w:p>
        </w:tc>
        <w:tc>
          <w:tcPr>
            <w:tcW w:type="dxa" w:w="2608"/>
            <w:shd w:val="clear" w:color="auto" w:fill="FCE4EC"/>
            <w:tcW w:w="2608" w:type="dxa"/>
          </w:tcPr>
          <w:p>
            <w:r>
              <w:rPr>
                <w:rFonts w:ascii="Calibri" w:hAnsi="Calibri"/>
                <w:sz w:val="19"/>
              </w:rPr>
              <w:t>À la remise au 1er transporteur (pas à destination).</w:t>
            </w:r>
          </w:p>
        </w:tc>
        <w:tc>
          <w:tcPr>
            <w:tcW w:type="dxa" w:w="2494"/>
            <w:shd w:val="clear" w:color="auto" w:fill="FCE4EC"/>
            <w:tcW w:w="2494" w:type="dxa"/>
          </w:tcPr>
          <w:p>
            <w:r>
              <w:rPr>
                <w:rFonts w:ascii="Calibri" w:hAnsi="Calibri"/>
                <w:sz w:val="19"/>
              </w:rPr>
              <w:t>Pré-acheminement, dédouanement export, transport principal jusqu’au lieu convenu.</w:t>
            </w:r>
          </w:p>
        </w:tc>
        <w:tc>
          <w:tcPr>
            <w:tcW w:type="dxa" w:w="2494"/>
            <w:shd w:val="clear" w:color="auto" w:fill="FCE4EC"/>
            <w:tcW w:w="2494" w:type="dxa"/>
          </w:tcPr>
          <w:p>
            <w:r>
              <w:rPr>
                <w:rFonts w:ascii="Calibri" w:hAnsi="Calibri"/>
                <w:sz w:val="19"/>
              </w:rPr>
              <w:t>Assurance (si souhaitée), post-acheminement local si hors contrat, droits import.</w:t>
            </w:r>
          </w:p>
        </w:tc>
        <w:tc>
          <w:tcPr>
            <w:tcW w:type="dxa" w:w="2041"/>
            <w:shd w:val="clear" w:color="auto" w:fill="FCE4EC"/>
            <w:tcW w:w="2041" w:type="dxa"/>
          </w:tcPr>
          <w:p>
            <w:r>
              <w:rPr>
                <w:rFonts w:ascii="Calibri" w:hAnsi="Calibri"/>
                <w:sz w:val="19"/>
              </w:rPr>
              <w:t>Export: Vendeur • Import: Acheteur — Assurance: optionnelle (acheteur).</w:t>
            </w:r>
          </w:p>
        </w:tc>
        <w:tc>
          <w:tcPr>
            <w:tcW w:type="dxa" w:w="2665"/>
            <w:shd w:val="clear" w:color="auto" w:fill="FCE4EC"/>
            <w:tcW w:w="2664" w:type="dxa"/>
          </w:tcPr>
          <w:p>
            <w:r>
              <w:rPr>
                <w:rFonts w:ascii="Calibri" w:hAnsi="Calibri"/>
                <w:sz w:val="19"/>
              </w:rPr>
              <w:t>Fret aérien payé jusqu’à Paris CDG.</w:t>
            </w:r>
          </w:p>
        </w:tc>
      </w:tr>
      <w:tr>
        <w:tc>
          <w:tcPr>
            <w:tcW w:type="dxa" w:w="1928"/>
            <w:shd w:val="clear" w:color="auto" w:fill="EDE7F6"/>
            <w:tcW w:w="1927" w:type="dxa"/>
          </w:tcPr>
          <w:p>
            <w:r>
              <w:rPr>
                <w:rFonts w:ascii="Calibri" w:hAnsi="Calibri"/>
                <w:sz w:val="19"/>
              </w:rPr>
              <w:t>CIP — Carriage &amp; Insurance Paid To</w:t>
            </w:r>
          </w:p>
        </w:tc>
        <w:tc>
          <w:tcPr>
            <w:tcW w:type="dxa" w:w="1134"/>
            <w:shd w:val="clear" w:color="auto" w:fill="EDE7F6"/>
            <w:tcW w:w="1134" w:type="dxa"/>
          </w:tcPr>
          <w:p>
            <w:r>
              <w:rPr>
                <w:rFonts w:ascii="Calibri" w:hAnsi="Calibri"/>
                <w:sz w:val="19"/>
              </w:rPr>
              <w:t>Tous</w:t>
            </w:r>
          </w:p>
        </w:tc>
        <w:tc>
          <w:tcPr>
            <w:tcW w:type="dxa" w:w="2608"/>
            <w:shd w:val="clear" w:color="auto" w:fill="EDE7F6"/>
            <w:tcW w:w="2608" w:type="dxa"/>
          </w:tcPr>
          <w:p>
            <w:r>
              <w:rPr>
                <w:rFonts w:ascii="Calibri" w:hAnsi="Calibri"/>
                <w:sz w:val="19"/>
              </w:rPr>
              <w:t>À la remise au 1er transporteur.</w:t>
            </w:r>
          </w:p>
        </w:tc>
        <w:tc>
          <w:tcPr>
            <w:tcW w:type="dxa" w:w="2494"/>
            <w:shd w:val="clear" w:color="auto" w:fill="EDE7F6"/>
            <w:tcW w:w="2494" w:type="dxa"/>
          </w:tcPr>
          <w:p>
            <w:r>
              <w:rPr>
                <w:rFonts w:ascii="Calibri" w:hAnsi="Calibri"/>
                <w:sz w:val="19"/>
              </w:rPr>
              <w:t>Pré-acheminement, dédouanement export, transport principal + assurance jusqu’au lieu convenu.</w:t>
            </w:r>
          </w:p>
        </w:tc>
        <w:tc>
          <w:tcPr>
            <w:tcW w:type="dxa" w:w="2494"/>
            <w:shd w:val="clear" w:color="auto" w:fill="EDE7F6"/>
            <w:tcW w:w="2494" w:type="dxa"/>
          </w:tcPr>
          <w:p>
            <w:r>
              <w:rPr>
                <w:rFonts w:ascii="Calibri" w:hAnsi="Calibri"/>
                <w:sz w:val="19"/>
              </w:rPr>
              <w:t>Post-acheminement si non inclus, droits import.</w:t>
            </w:r>
          </w:p>
        </w:tc>
        <w:tc>
          <w:tcPr>
            <w:tcW w:type="dxa" w:w="2041"/>
            <w:shd w:val="clear" w:color="auto" w:fill="EDE7F6"/>
            <w:tcW w:w="2041" w:type="dxa"/>
          </w:tcPr>
          <w:p>
            <w:r>
              <w:rPr>
                <w:rFonts w:ascii="Calibri" w:hAnsi="Calibri"/>
                <w:sz w:val="19"/>
              </w:rPr>
              <w:t>Export: Vendeur • Import: Acheteur — Assurance: obligatoire vendeur (ICC(A) étendue).</w:t>
            </w:r>
          </w:p>
        </w:tc>
        <w:tc>
          <w:tcPr>
            <w:tcW w:type="dxa" w:w="2665"/>
            <w:shd w:val="clear" w:color="auto" w:fill="EDE7F6"/>
            <w:tcW w:w="2664" w:type="dxa"/>
          </w:tcPr>
          <w:p>
            <w:r>
              <w:rPr>
                <w:rFonts w:ascii="Calibri" w:hAnsi="Calibri"/>
                <w:sz w:val="19"/>
              </w:rPr>
              <w:t>Express assuré jusqu’à l’entrepôt de l’acheteur à Lyon.</w:t>
            </w:r>
          </w:p>
        </w:tc>
      </w:tr>
      <w:tr>
        <w:tc>
          <w:tcPr>
            <w:tcW w:type="dxa" w:w="1928"/>
            <w:shd w:val="clear" w:color="auto" w:fill="E3F2FD"/>
            <w:tcW w:w="1927" w:type="dxa"/>
          </w:tcPr>
          <w:p>
            <w:r>
              <w:rPr>
                <w:rFonts w:ascii="Calibri" w:hAnsi="Calibri"/>
                <w:sz w:val="19"/>
              </w:rPr>
              <w:t>DAP — Delivered At Place</w:t>
            </w:r>
          </w:p>
        </w:tc>
        <w:tc>
          <w:tcPr>
            <w:tcW w:type="dxa" w:w="1134"/>
            <w:shd w:val="clear" w:color="auto" w:fill="E3F2FD"/>
            <w:tcW w:w="1134" w:type="dxa"/>
          </w:tcPr>
          <w:p>
            <w:r>
              <w:rPr>
                <w:rFonts w:ascii="Calibri" w:hAnsi="Calibri"/>
                <w:sz w:val="19"/>
              </w:rPr>
              <w:t>Tous</w:t>
            </w:r>
          </w:p>
        </w:tc>
        <w:tc>
          <w:tcPr>
            <w:tcW w:type="dxa" w:w="2608"/>
            <w:shd w:val="clear" w:color="auto" w:fill="E3F2FD"/>
            <w:tcW w:w="2608" w:type="dxa"/>
          </w:tcPr>
          <w:p>
            <w:r>
              <w:rPr>
                <w:rFonts w:ascii="Calibri" w:hAnsi="Calibri"/>
                <w:sz w:val="19"/>
              </w:rPr>
              <w:t>À disposition chez l’acheteur au lieu convenu (non déchargé).</w:t>
            </w:r>
          </w:p>
        </w:tc>
        <w:tc>
          <w:tcPr>
            <w:tcW w:type="dxa" w:w="2494"/>
            <w:shd w:val="clear" w:color="auto" w:fill="E3F2FD"/>
            <w:tcW w:w="2494" w:type="dxa"/>
          </w:tcPr>
          <w:p>
            <w:r>
              <w:rPr>
                <w:rFonts w:ascii="Calibri" w:hAnsi="Calibri"/>
                <w:sz w:val="19"/>
              </w:rPr>
              <w:t>Tous transports jusqu’au lieu convenu (hors déchargement, hors droits import).</w:t>
            </w:r>
          </w:p>
        </w:tc>
        <w:tc>
          <w:tcPr>
            <w:tcW w:type="dxa" w:w="2494"/>
            <w:shd w:val="clear" w:color="auto" w:fill="E3F2FD"/>
            <w:tcW w:w="2494" w:type="dxa"/>
          </w:tcPr>
          <w:p>
            <w:r>
              <w:rPr>
                <w:rFonts w:ascii="Calibri" w:hAnsi="Calibri"/>
                <w:sz w:val="19"/>
              </w:rPr>
              <w:t>Déchargement, dédouanement import, taxes/droits.</w:t>
            </w:r>
          </w:p>
        </w:tc>
        <w:tc>
          <w:tcPr>
            <w:tcW w:type="dxa" w:w="2041"/>
            <w:shd w:val="clear" w:color="auto" w:fill="E3F2FD"/>
            <w:tcW w:w="2041" w:type="dxa"/>
          </w:tcPr>
          <w:p>
            <w:r>
              <w:rPr>
                <w:rFonts w:ascii="Calibri" w:hAnsi="Calibri"/>
                <w:sz w:val="19"/>
              </w:rPr>
              <w:t>Export: Vendeur • Import: Acheteur — Assurance: optionnelle (vendeur).</w:t>
            </w:r>
          </w:p>
        </w:tc>
        <w:tc>
          <w:tcPr>
            <w:tcW w:type="dxa" w:w="2665"/>
            <w:shd w:val="clear" w:color="auto" w:fill="E3F2FD"/>
            <w:tcW w:w="2664" w:type="dxa"/>
          </w:tcPr>
          <w:p>
            <w:r>
              <w:rPr>
                <w:rFonts w:ascii="Calibri" w:hAnsi="Calibri"/>
                <w:sz w:val="19"/>
              </w:rPr>
              <w:t>Livraison route jusqu’à l’usine, prêt à décharger.</w:t>
            </w:r>
          </w:p>
        </w:tc>
      </w:tr>
      <w:tr>
        <w:tc>
          <w:tcPr>
            <w:tcW w:type="dxa" w:w="1928"/>
            <w:shd w:val="clear" w:color="auto" w:fill="E1F5FE"/>
            <w:tcW w:w="1927" w:type="dxa"/>
          </w:tcPr>
          <w:p>
            <w:r>
              <w:rPr>
                <w:rFonts w:ascii="Calibri" w:hAnsi="Calibri"/>
                <w:sz w:val="19"/>
              </w:rPr>
              <w:t>DPU — Delivered At Place Unloaded</w:t>
            </w:r>
          </w:p>
        </w:tc>
        <w:tc>
          <w:tcPr>
            <w:tcW w:type="dxa" w:w="1134"/>
            <w:shd w:val="clear" w:color="auto" w:fill="E1F5FE"/>
            <w:tcW w:w="1134" w:type="dxa"/>
          </w:tcPr>
          <w:p>
            <w:r>
              <w:rPr>
                <w:rFonts w:ascii="Calibri" w:hAnsi="Calibri"/>
                <w:sz w:val="19"/>
              </w:rPr>
              <w:t>Tous</w:t>
            </w:r>
          </w:p>
        </w:tc>
        <w:tc>
          <w:tcPr>
            <w:tcW w:type="dxa" w:w="2608"/>
            <w:shd w:val="clear" w:color="auto" w:fill="E1F5FE"/>
            <w:tcW w:w="2608" w:type="dxa"/>
          </w:tcPr>
          <w:p>
            <w:r>
              <w:rPr>
                <w:rFonts w:ascii="Calibri" w:hAnsi="Calibri"/>
                <w:sz w:val="19"/>
              </w:rPr>
              <w:t>Après déchargement au lieu convenu.</w:t>
            </w:r>
          </w:p>
        </w:tc>
        <w:tc>
          <w:tcPr>
            <w:tcW w:type="dxa" w:w="2494"/>
            <w:shd w:val="clear" w:color="auto" w:fill="E1F5FE"/>
            <w:tcW w:w="2494" w:type="dxa"/>
          </w:tcPr>
          <w:p>
            <w:r>
              <w:rPr>
                <w:rFonts w:ascii="Calibri" w:hAnsi="Calibri"/>
                <w:sz w:val="19"/>
              </w:rPr>
              <w:t>Tous transports jusqu’au lieu convenu + déchargement.</w:t>
            </w:r>
          </w:p>
        </w:tc>
        <w:tc>
          <w:tcPr>
            <w:tcW w:type="dxa" w:w="2494"/>
            <w:shd w:val="clear" w:color="auto" w:fill="E1F5FE"/>
            <w:tcW w:w="2494" w:type="dxa"/>
          </w:tcPr>
          <w:p>
            <w:r>
              <w:rPr>
                <w:rFonts w:ascii="Calibri" w:hAnsi="Calibri"/>
                <w:sz w:val="19"/>
              </w:rPr>
              <w:t>Dédouanement import, taxes/droits.</w:t>
            </w:r>
          </w:p>
        </w:tc>
        <w:tc>
          <w:tcPr>
            <w:tcW w:type="dxa" w:w="2041"/>
            <w:shd w:val="clear" w:color="auto" w:fill="E1F5FE"/>
            <w:tcW w:w="2041" w:type="dxa"/>
          </w:tcPr>
          <w:p>
            <w:r>
              <w:rPr>
                <w:rFonts w:ascii="Calibri" w:hAnsi="Calibri"/>
                <w:sz w:val="19"/>
              </w:rPr>
              <w:t>Export: Vendeur • Import: Acheteur — Assurance: optionnelle (vendeur).</w:t>
            </w:r>
          </w:p>
        </w:tc>
        <w:tc>
          <w:tcPr>
            <w:tcW w:type="dxa" w:w="2665"/>
            <w:shd w:val="clear" w:color="auto" w:fill="E1F5FE"/>
            <w:tcW w:w="2664" w:type="dxa"/>
          </w:tcPr>
          <w:p>
            <w:r>
              <w:rPr>
                <w:rFonts w:ascii="Calibri" w:hAnsi="Calibri"/>
                <w:sz w:val="19"/>
              </w:rPr>
              <w:t>Livraison sur chantier avec grue, déchargement par le vendeur.</w:t>
            </w:r>
          </w:p>
        </w:tc>
      </w:tr>
      <w:tr>
        <w:tc>
          <w:tcPr>
            <w:tcW w:type="dxa" w:w="1928"/>
            <w:shd w:val="clear" w:color="auto" w:fill="E0F7FA"/>
            <w:tcW w:w="1927" w:type="dxa"/>
          </w:tcPr>
          <w:p>
            <w:r>
              <w:rPr>
                <w:rFonts w:ascii="Calibri" w:hAnsi="Calibri"/>
                <w:sz w:val="19"/>
              </w:rPr>
              <w:t>DDP — Delivered Duty Paid</w:t>
            </w:r>
          </w:p>
        </w:tc>
        <w:tc>
          <w:tcPr>
            <w:tcW w:type="dxa" w:w="1134"/>
            <w:shd w:val="clear" w:color="auto" w:fill="E0F7FA"/>
            <w:tcW w:w="1134" w:type="dxa"/>
          </w:tcPr>
          <w:p>
            <w:r>
              <w:rPr>
                <w:rFonts w:ascii="Calibri" w:hAnsi="Calibri"/>
                <w:sz w:val="19"/>
              </w:rPr>
              <w:t>Tous</w:t>
            </w:r>
          </w:p>
        </w:tc>
        <w:tc>
          <w:tcPr>
            <w:tcW w:type="dxa" w:w="2608"/>
            <w:shd w:val="clear" w:color="auto" w:fill="E0F7FA"/>
            <w:tcW w:w="2608" w:type="dxa"/>
          </w:tcPr>
          <w:p>
            <w:r>
              <w:rPr>
                <w:rFonts w:ascii="Calibri" w:hAnsi="Calibri"/>
                <w:sz w:val="19"/>
              </w:rPr>
              <w:t>À disposition chez l’acheteur au lieu convenu (non déchargé).</w:t>
            </w:r>
          </w:p>
        </w:tc>
        <w:tc>
          <w:tcPr>
            <w:tcW w:type="dxa" w:w="2494"/>
            <w:shd w:val="clear" w:color="auto" w:fill="E0F7FA"/>
            <w:tcW w:w="2494" w:type="dxa"/>
          </w:tcPr>
          <w:p>
            <w:r>
              <w:rPr>
                <w:rFonts w:ascii="Calibri" w:hAnsi="Calibri"/>
                <w:sz w:val="19"/>
              </w:rPr>
              <w:t>Tous coûts jusqu’au lieu convenu, y compris droits et taxes import.</w:t>
            </w:r>
          </w:p>
        </w:tc>
        <w:tc>
          <w:tcPr>
            <w:tcW w:type="dxa" w:w="2494"/>
            <w:shd w:val="clear" w:color="auto" w:fill="E0F7FA"/>
            <w:tcW w:w="2494" w:type="dxa"/>
          </w:tcPr>
          <w:p>
            <w:r>
              <w:rPr>
                <w:rFonts w:ascii="Calibri" w:hAnsi="Calibri"/>
                <w:sz w:val="19"/>
              </w:rPr>
              <w:t>Déchargement (sauf accord).</w:t>
            </w:r>
          </w:p>
        </w:tc>
        <w:tc>
          <w:tcPr>
            <w:tcW w:type="dxa" w:w="2041"/>
            <w:shd w:val="clear" w:color="auto" w:fill="E0F7FA"/>
            <w:tcW w:w="2041" w:type="dxa"/>
          </w:tcPr>
          <w:p>
            <w:r>
              <w:rPr>
                <w:rFonts w:ascii="Calibri" w:hAnsi="Calibri"/>
                <w:sz w:val="19"/>
              </w:rPr>
              <w:t>Export: Vendeur • Import: Vendeur — Assurance: optionnelle (vendeur).</w:t>
            </w:r>
          </w:p>
        </w:tc>
        <w:tc>
          <w:tcPr>
            <w:tcW w:type="dxa" w:w="2665"/>
            <w:shd w:val="clear" w:color="auto" w:fill="E0F7FA"/>
            <w:tcW w:w="2664" w:type="dxa"/>
          </w:tcPr>
          <w:p>
            <w:r>
              <w:rPr>
                <w:rFonts w:ascii="Calibri" w:hAnsi="Calibri"/>
                <w:sz w:val="19"/>
              </w:rPr>
              <w:t>Livraison e‑commerce avec droits/TVA réglés par le vendeur.</w:t>
            </w:r>
          </w:p>
        </w:tc>
      </w:tr>
    </w:tbl>
    <w:sectPr w:rsidR="00FC693F" w:rsidRPr="0006063C" w:rsidSect="00034616">
      <w:footerReference w:type="default" r:id="rId9"/>
      <w:pgSz w:w="16838" w:h="11906" w:orient="landscape"/>
      <w:pgMar w:top="737" w:right="737" w:bottom="737" w:left="73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right"/>
    </w:pPr>
    <w:r>
      <w:t>lecoursgratuit.com — Incoterms 2020</w:t>
    </w:r>
    <w:r>
      <w:t xml:space="preserve"> — Page </w:t>
      <w:fldChar w:fldCharType="begin"/>
      <w:instrText>PAGE</w:instrText>
      <w:fldChar w:fldCharType="end"/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