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5364"/>
      </w:tblGrid>
      <w:tr>
        <w:tc>
          <w:tcPr>
            <w:tcW w:type="dxa" w:w="15364"/>
            <w:shd w:val="clear" w:color="auto" w:fill="1A73E8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INCOTERMS 2020 — Tableau A4 (Cascade Colors)</w:t>
            </w:r>
          </w:p>
        </w:tc>
      </w:tr>
    </w:tbl>
    <w:p>
      <w:pPr>
        <w:jc w:val="center"/>
      </w:pPr>
      <w:r>
        <w:rPr>
          <w:rFonts w:ascii="Calibri" w:hAnsi="Calibri"/>
          <w:b/>
          <w:sz w:val="24"/>
        </w:rPr>
        <w:t>Prérempli — Route : France → USA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073"/>
        <w:gridCol w:w="3073"/>
        <w:gridCol w:w="3073"/>
        <w:gridCol w:w="3073"/>
        <w:gridCol w:w="3073"/>
      </w:tblGrid>
      <w:tr>
        <w:tc>
          <w:tcPr>
            <w:tcW w:type="dxa" w:w="3073"/>
            <w:shd w:val="clear" w:color="auto" w:fill="1A73E8"/>
          </w:tcPr>
          <w:p>
            <w:r>
              <w:t xml:space="preserve"> </w:t>
            </w:r>
          </w:p>
        </w:tc>
        <w:tc>
          <w:tcPr>
            <w:tcW w:type="dxa" w:w="3073"/>
            <w:shd w:val="clear" w:color="auto" w:fill="00A9E0"/>
          </w:tcPr>
          <w:p>
            <w:r>
              <w:t xml:space="preserve"> </w:t>
            </w:r>
          </w:p>
        </w:tc>
        <w:tc>
          <w:tcPr>
            <w:tcW w:type="dxa" w:w="3073"/>
            <w:shd w:val="clear" w:color="auto" w:fill="00B8A9"/>
          </w:tcPr>
          <w:p>
            <w:r>
              <w:t xml:space="preserve"> </w:t>
            </w:r>
          </w:p>
        </w:tc>
        <w:tc>
          <w:tcPr>
            <w:tcW w:type="dxa" w:w="3073"/>
            <w:shd w:val="clear" w:color="auto" w:fill="34A853"/>
          </w:tcPr>
          <w:p>
            <w:r>
              <w:t xml:space="preserve"> </w:t>
            </w:r>
          </w:p>
        </w:tc>
        <w:tc>
          <w:tcPr>
            <w:tcW w:type="dxa" w:w="3073"/>
            <w:shd w:val="clear" w:color="auto" w:fill="FB8C00"/>
          </w:tcPr>
          <w:p>
            <w:r>
              <w:t xml:space="preserve"> </w:t>
            </w:r>
          </w:p>
        </w:tc>
      </w:tr>
      <w:tr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</w:tr>
      <w:tr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</w:tr>
      <w:tr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</w:tr>
      <w:tr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</w:tr>
      <w:tr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  <w:tc>
          <w:tcPr>
            <w:tcW w:type="dxa" w:w="3073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21"/>
        <w:gridCol w:w="5121"/>
        <w:gridCol w:w="5121"/>
      </w:tblGrid>
      <w:tr>
        <w:tc>
          <w:tcPr>
            <w:tcW w:type="dxa" w:w="5121"/>
            <w:shd w:val="clear" w:color="auto" w:fill="E8F0FE"/>
          </w:tcPr>
          <w:p>
            <w:r>
              <w:rPr>
                <w:rFonts w:ascii="Calibri" w:hAnsi="Calibri"/>
                <w:sz w:val="20"/>
              </w:rPr>
              <w:t>Coûts vendeur (col. 4)</w:t>
            </w:r>
          </w:p>
        </w:tc>
        <w:tc>
          <w:tcPr>
            <w:tcW w:type="dxa" w:w="5121"/>
            <w:shd w:val="clear" w:color="auto" w:fill="FFF3E0"/>
          </w:tcPr>
          <w:p>
            <w:r>
              <w:rPr>
                <w:rFonts w:ascii="Calibri" w:hAnsi="Calibri"/>
                <w:sz w:val="20"/>
              </w:rPr>
              <w:t>Coûts acheteur (col. 5)</w:t>
            </w:r>
          </w:p>
        </w:tc>
        <w:tc>
          <w:tcPr>
            <w:tcW w:type="dxa" w:w="5121"/>
            <w:shd w:val="clear" w:color="auto" w:fill="E0F7FA"/>
          </w:tcPr>
          <w:p>
            <w:r>
              <w:rPr>
                <w:rFonts w:ascii="Calibri" w:hAnsi="Calibri"/>
                <w:sz w:val="20"/>
              </w:rPr>
              <w:t>Transfert de risque (col. 3)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95"/>
        <w:gridCol w:w="2195"/>
        <w:gridCol w:w="2195"/>
        <w:gridCol w:w="2195"/>
        <w:gridCol w:w="2195"/>
        <w:gridCol w:w="2195"/>
        <w:gridCol w:w="2195"/>
      </w:tblGrid>
      <w:tr>
        <w:trPr>
          <w:tblHeader w:val="true"/>
        </w:trPr>
        <w:tc>
          <w:tcPr>
            <w:tcW w:type="dxa" w:w="1928"/>
            <w:shd w:val="clear" w:color="auto" w:fill="1A73E8"/>
            <w:tcW w:w="1927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Incoterm</w:t>
            </w:r>
          </w:p>
        </w:tc>
        <w:tc>
          <w:tcPr>
            <w:tcW w:type="dxa" w:w="1134"/>
            <w:shd w:val="clear" w:color="auto" w:fill="1A73E8"/>
            <w:tcW w:w="1134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Mode</w:t>
            </w:r>
          </w:p>
        </w:tc>
        <w:tc>
          <w:tcPr>
            <w:tcW w:type="dxa" w:w="2608"/>
            <w:shd w:val="clear" w:color="auto" w:fill="1A73E8"/>
            <w:tcW w:w="2608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Transfert des risques</w:t>
            </w:r>
          </w:p>
        </w:tc>
        <w:tc>
          <w:tcPr>
            <w:tcW w:type="dxa" w:w="2494"/>
            <w:shd w:val="clear" w:color="auto" w:fill="1A73E8"/>
            <w:tcW w:w="2494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Frais vendeur (principaux)</w:t>
            </w:r>
          </w:p>
        </w:tc>
        <w:tc>
          <w:tcPr>
            <w:tcW w:type="dxa" w:w="2494"/>
            <w:shd w:val="clear" w:color="auto" w:fill="1A73E8"/>
            <w:tcW w:w="2494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Frais acheteur (principaux)</w:t>
            </w:r>
          </w:p>
        </w:tc>
        <w:tc>
          <w:tcPr>
            <w:tcW w:type="dxa" w:w="2381"/>
            <w:shd w:val="clear" w:color="auto" w:fill="1A73E8"/>
            <w:tcW w:w="2381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Douanes &amp; assurance (route)</w:t>
            </w:r>
          </w:p>
        </w:tc>
        <w:tc>
          <w:tcPr>
            <w:tcW w:type="dxa" w:w="2381"/>
            <w:shd w:val="clear" w:color="auto" w:fill="1A73E8"/>
            <w:tcW w:w="2381" w:type="dxa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1"/>
              </w:rPr>
              <w:t>Exemple d’usage (route)</w:t>
            </w:r>
          </w:p>
        </w:tc>
      </w:tr>
      <w:tr>
        <w:tc>
          <w:tcPr>
            <w:tcW w:type="dxa" w:w="1928"/>
            <w:shd w:val="clear" w:color="auto" w:fill="E3F2FD"/>
            <w:tcW w:w="1927" w:type="dxa"/>
          </w:tcPr>
          <w:p>
            <w:r>
              <w:rPr>
                <w:rFonts w:ascii="Calibri" w:hAnsi="Calibri"/>
                <w:sz w:val="19"/>
              </w:rPr>
              <w:t>EXW — Ex Works</w:t>
            </w:r>
          </w:p>
        </w:tc>
        <w:tc>
          <w:tcPr>
            <w:tcW w:type="dxa" w:w="1134"/>
            <w:shd w:val="clear" w:color="auto" w:fill="E3F2FD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3F2FD"/>
            <w:tcW w:w="2608" w:type="dxa"/>
          </w:tcPr>
          <w:p>
            <w:r>
              <w:rPr>
                <w:rFonts w:ascii="Calibri" w:hAnsi="Calibri"/>
                <w:sz w:val="19"/>
              </w:rPr>
              <w:t>Chez le vendeur, mise à dispo non chargée.</w:t>
            </w:r>
          </w:p>
        </w:tc>
        <w:tc>
          <w:tcPr>
            <w:tcW w:type="dxa" w:w="2494"/>
            <w:shd w:val="clear" w:color="auto" w:fill="E3F2FD"/>
            <w:tcW w:w="2494" w:type="dxa"/>
          </w:tcPr>
          <w:p>
            <w:r>
              <w:rPr>
                <w:rFonts w:ascii="Calibri" w:hAnsi="Calibri"/>
                <w:sz w:val="19"/>
              </w:rPr>
              <w:t>Mise à dispo, emballage.</w:t>
            </w:r>
          </w:p>
        </w:tc>
        <w:tc>
          <w:tcPr>
            <w:tcW w:type="dxa" w:w="2494"/>
            <w:shd w:val="clear" w:color="auto" w:fill="E3F2FD"/>
            <w:tcW w:w="2494" w:type="dxa"/>
          </w:tcPr>
          <w:p>
            <w:r>
              <w:rPr>
                <w:rFonts w:ascii="Calibri" w:hAnsi="Calibri"/>
                <w:sz w:val="19"/>
              </w:rPr>
              <w:t>Chargement, tous transports, export FR (complexe), assurance, import US, droits &amp; taxes.</w:t>
            </w:r>
          </w:p>
        </w:tc>
        <w:tc>
          <w:tcPr>
            <w:tcW w:type="dxa" w:w="2381"/>
            <w:shd w:val="clear" w:color="auto" w:fill="E3F2FD"/>
            <w:tcW w:w="2381" w:type="dxa"/>
          </w:tcPr>
          <w:p>
            <w:r>
              <w:rPr>
                <w:rFonts w:ascii="Calibri" w:hAnsi="Calibri"/>
                <w:sz w:val="19"/>
              </w:rPr>
              <w:t>Export FR théoriquement par l’acheteur (peu pratique) ; import US par l’acheteur (CBP). À éviter : préférez FCA.</w:t>
            </w:r>
          </w:p>
        </w:tc>
        <w:tc>
          <w:tcPr>
            <w:tcW w:type="dxa" w:w="2381"/>
            <w:shd w:val="clear" w:color="auto" w:fill="E3F2FD"/>
            <w:tcW w:w="2381" w:type="dxa"/>
          </w:tcPr>
          <w:p>
            <w:r>
              <w:rPr>
                <w:rFonts w:ascii="Calibri" w:hAnsi="Calibri"/>
                <w:sz w:val="19"/>
              </w:rPr>
              <w:t>Collecte chez le vendeur à Lyon → entrepôt acheteur New Jersey.</w:t>
            </w:r>
          </w:p>
        </w:tc>
      </w:tr>
      <w:tr>
        <w:tc>
          <w:tcPr>
            <w:tcW w:type="dxa" w:w="1928"/>
            <w:shd w:val="clear" w:color="auto" w:fill="E1F5FE"/>
            <w:tcW w:w="1927" w:type="dxa"/>
          </w:tcPr>
          <w:p>
            <w:r>
              <w:rPr>
                <w:rFonts w:ascii="Calibri" w:hAnsi="Calibri"/>
                <w:sz w:val="19"/>
              </w:rPr>
              <w:t>FCA — Free Carrier</w:t>
            </w:r>
          </w:p>
        </w:tc>
        <w:tc>
          <w:tcPr>
            <w:tcW w:type="dxa" w:w="1134"/>
            <w:shd w:val="clear" w:color="auto" w:fill="E1F5FE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1F5FE"/>
            <w:tcW w:w="2608" w:type="dxa"/>
          </w:tcPr>
          <w:p>
            <w:r>
              <w:rPr>
                <w:rFonts w:ascii="Calibri" w:hAnsi="Calibri"/>
                <w:sz w:val="19"/>
              </w:rPr>
              <w:t>À la remise au 1er transporteur.</w:t>
            </w:r>
          </w:p>
        </w:tc>
        <w:tc>
          <w:tcPr>
            <w:tcW w:type="dxa" w:w="2494"/>
            <w:shd w:val="clear" w:color="auto" w:fill="E1F5FE"/>
            <w:tcW w:w="2494" w:type="dxa"/>
          </w:tcPr>
          <w:p>
            <w:r>
              <w:rPr>
                <w:rFonts w:ascii="Calibri" w:hAnsi="Calibri"/>
                <w:sz w:val="19"/>
              </w:rPr>
              <w:t>Chargement, remise au transporteur, **dédouanement export FR**.</w:t>
            </w:r>
          </w:p>
        </w:tc>
        <w:tc>
          <w:tcPr>
            <w:tcW w:type="dxa" w:w="2494"/>
            <w:shd w:val="clear" w:color="auto" w:fill="E1F5FE"/>
            <w:tcW w:w="2494" w:type="dxa"/>
          </w:tcPr>
          <w:p>
            <w:r>
              <w:rPr>
                <w:rFonts w:ascii="Calibri" w:hAnsi="Calibri"/>
                <w:sz w:val="19"/>
              </w:rPr>
              <w:t>Transport principal, assurance, import US (droits/taxes), post‑acheminement.</w:t>
            </w:r>
          </w:p>
        </w:tc>
        <w:tc>
          <w:tcPr>
            <w:tcW w:type="dxa" w:w="2381"/>
            <w:shd w:val="clear" w:color="auto" w:fill="E1F5FE"/>
            <w:tcW w:w="2381" w:type="dxa"/>
          </w:tcPr>
          <w:p>
            <w:r>
              <w:rPr>
                <w:rFonts w:ascii="Calibri" w:hAnsi="Calibri"/>
                <w:sz w:val="19"/>
              </w:rPr>
              <w:t>Export FR : vendeur. Import US : acheteur (CBP). Maritime : ISF 10+2 par l’importateur ; emballages bois ISPM‑15.</w:t>
            </w:r>
          </w:p>
        </w:tc>
        <w:tc>
          <w:tcPr>
            <w:tcW w:type="dxa" w:w="2381"/>
            <w:shd w:val="clear" w:color="auto" w:fill="E1F5FE"/>
            <w:tcW w:w="2381" w:type="dxa"/>
          </w:tcPr>
          <w:p>
            <w:r>
              <w:rPr>
                <w:rFonts w:ascii="Calibri" w:hAnsi="Calibri"/>
                <w:sz w:val="19"/>
              </w:rPr>
              <w:t>FCA Roissy CDG (air) → import US à Chicago (ORD).</w:t>
            </w:r>
          </w:p>
        </w:tc>
      </w:tr>
      <w:tr>
        <w:tc>
          <w:tcPr>
            <w:tcW w:type="dxa" w:w="1928"/>
            <w:shd w:val="clear" w:color="auto" w:fill="E0F7FA"/>
            <w:tcW w:w="1927" w:type="dxa"/>
          </w:tcPr>
          <w:p>
            <w:r>
              <w:rPr>
                <w:rFonts w:ascii="Calibri" w:hAnsi="Calibri"/>
                <w:sz w:val="19"/>
              </w:rPr>
              <w:t>FAS — Free Alongside Ship</w:t>
            </w:r>
          </w:p>
        </w:tc>
        <w:tc>
          <w:tcPr>
            <w:tcW w:type="dxa" w:w="1134"/>
            <w:shd w:val="clear" w:color="auto" w:fill="E0F7FA"/>
            <w:tcW w:w="1134" w:type="dxa"/>
          </w:tcPr>
          <w:p>
            <w:r>
              <w:rPr>
                <w:rFonts w:ascii="Calibri" w:hAnsi="Calibri"/>
                <w:sz w:val="19"/>
              </w:rPr>
              <w:t>Maritime</w:t>
            </w:r>
          </w:p>
        </w:tc>
        <w:tc>
          <w:tcPr>
            <w:tcW w:type="dxa" w:w="2608"/>
            <w:shd w:val="clear" w:color="auto" w:fill="E0F7FA"/>
            <w:tcW w:w="2608" w:type="dxa"/>
          </w:tcPr>
          <w:p>
            <w:r>
              <w:rPr>
                <w:rFonts w:ascii="Calibri" w:hAnsi="Calibri"/>
                <w:sz w:val="19"/>
              </w:rPr>
              <w:t>Le long du navire au port d’embarquement.</w:t>
            </w:r>
          </w:p>
        </w:tc>
        <w:tc>
          <w:tcPr>
            <w:tcW w:type="dxa" w:w="2494"/>
            <w:shd w:val="clear" w:color="auto" w:fill="E0F7FA"/>
            <w:tcW w:w="2494" w:type="dxa"/>
          </w:tcPr>
          <w:p>
            <w:r>
              <w:rPr>
                <w:rFonts w:ascii="Calibri" w:hAnsi="Calibri"/>
                <w:sz w:val="19"/>
              </w:rPr>
              <w:t>Pré‑acheminement, mise à quai, export FR.</w:t>
            </w:r>
          </w:p>
        </w:tc>
        <w:tc>
          <w:tcPr>
            <w:tcW w:type="dxa" w:w="2494"/>
            <w:shd w:val="clear" w:color="auto" w:fill="E0F7FA"/>
            <w:tcW w:w="2494" w:type="dxa"/>
          </w:tcPr>
          <w:p>
            <w:r>
              <w:rPr>
                <w:rFonts w:ascii="Calibri" w:hAnsi="Calibri"/>
                <w:sz w:val="19"/>
              </w:rPr>
              <w:t>Chargement à bord, fret, assurance, import US, post‑acheminement.</w:t>
            </w:r>
          </w:p>
        </w:tc>
        <w:tc>
          <w:tcPr>
            <w:tcW w:type="dxa" w:w="2381"/>
            <w:shd w:val="clear" w:color="auto" w:fill="E0F7FA"/>
            <w:tcW w:w="2381" w:type="dxa"/>
          </w:tcPr>
          <w:p>
            <w:r>
              <w:rPr>
                <w:rFonts w:ascii="Calibri" w:hAnsi="Calibri"/>
                <w:sz w:val="19"/>
              </w:rPr>
              <w:t>Import US : acheteur (CBP). AMS/ISF appliqués par/ou pour l’importateur.</w:t>
            </w:r>
          </w:p>
        </w:tc>
        <w:tc>
          <w:tcPr>
            <w:tcW w:type="dxa" w:w="2381"/>
            <w:shd w:val="clear" w:color="auto" w:fill="E0F7FA"/>
            <w:tcW w:w="2381" w:type="dxa"/>
          </w:tcPr>
          <w:p>
            <w:r>
              <w:rPr>
                <w:rFonts w:ascii="Calibri" w:hAnsi="Calibri"/>
                <w:sz w:val="19"/>
              </w:rPr>
              <w:t>FAS Le Havre → navire à destination de New York.</w:t>
            </w:r>
          </w:p>
        </w:tc>
      </w:tr>
      <w:tr>
        <w:tc>
          <w:tcPr>
            <w:tcW w:type="dxa" w:w="1928"/>
            <w:shd w:val="clear" w:color="auto" w:fill="E8F5E9"/>
            <w:tcW w:w="1927" w:type="dxa"/>
          </w:tcPr>
          <w:p>
            <w:r>
              <w:rPr>
                <w:rFonts w:ascii="Calibri" w:hAnsi="Calibri"/>
                <w:sz w:val="19"/>
              </w:rPr>
              <w:t>FOB — Free On Board</w:t>
            </w:r>
          </w:p>
        </w:tc>
        <w:tc>
          <w:tcPr>
            <w:tcW w:type="dxa" w:w="1134"/>
            <w:shd w:val="clear" w:color="auto" w:fill="E8F5E9"/>
            <w:tcW w:w="1134" w:type="dxa"/>
          </w:tcPr>
          <w:p>
            <w:r>
              <w:rPr>
                <w:rFonts w:ascii="Calibri" w:hAnsi="Calibri"/>
                <w:sz w:val="19"/>
              </w:rPr>
              <w:t>Maritime</w:t>
            </w:r>
          </w:p>
        </w:tc>
        <w:tc>
          <w:tcPr>
            <w:tcW w:type="dxa" w:w="2608"/>
            <w:shd w:val="clear" w:color="auto" w:fill="E8F5E9"/>
            <w:tcW w:w="2608" w:type="dxa"/>
          </w:tcPr>
          <w:p>
            <w:r>
              <w:rPr>
                <w:rFonts w:ascii="Calibri" w:hAnsi="Calibri"/>
                <w:sz w:val="19"/>
              </w:rPr>
              <w:t>À bord du navire au port d’embarquement.</w:t>
            </w:r>
          </w:p>
        </w:tc>
        <w:tc>
          <w:tcPr>
            <w:tcW w:type="dxa" w:w="2494"/>
            <w:shd w:val="clear" w:color="auto" w:fill="E8F5E9"/>
            <w:tcW w:w="2494" w:type="dxa"/>
          </w:tcPr>
          <w:p>
            <w:r>
              <w:rPr>
                <w:rFonts w:ascii="Calibri" w:hAnsi="Calibri"/>
                <w:sz w:val="19"/>
              </w:rPr>
              <w:t>Pré‑acheminement, chargement à bord, export FR.</w:t>
            </w:r>
          </w:p>
        </w:tc>
        <w:tc>
          <w:tcPr>
            <w:tcW w:type="dxa" w:w="2494"/>
            <w:shd w:val="clear" w:color="auto" w:fill="E8F5E9"/>
            <w:tcW w:w="2494" w:type="dxa"/>
          </w:tcPr>
          <w:p>
            <w:r>
              <w:rPr>
                <w:rFonts w:ascii="Calibri" w:hAnsi="Calibri"/>
                <w:sz w:val="19"/>
              </w:rPr>
              <w:t>Fret, assurance, import US, post‑acheminement.</w:t>
            </w:r>
          </w:p>
        </w:tc>
        <w:tc>
          <w:tcPr>
            <w:tcW w:type="dxa" w:w="2381"/>
            <w:shd w:val="clear" w:color="auto" w:fill="E8F5E9"/>
            <w:tcW w:w="2381" w:type="dxa"/>
          </w:tcPr>
          <w:p>
            <w:r>
              <w:rPr>
                <w:rFonts w:ascii="Calibri" w:hAnsi="Calibri"/>
                <w:sz w:val="19"/>
              </w:rPr>
              <w:t>Pour conteneur, privilégier FCA ; FOB adapté au break‑bulk.</w:t>
            </w:r>
          </w:p>
        </w:tc>
        <w:tc>
          <w:tcPr>
            <w:tcW w:type="dxa" w:w="2381"/>
            <w:shd w:val="clear" w:color="auto" w:fill="E8F5E9"/>
            <w:tcW w:w="2381" w:type="dxa"/>
          </w:tcPr>
          <w:p>
            <w:r>
              <w:rPr>
                <w:rFonts w:ascii="Calibri" w:hAnsi="Calibri"/>
                <w:sz w:val="19"/>
              </w:rPr>
              <w:t>FOB Le Havre → New York (NY/NJ).</w:t>
            </w:r>
          </w:p>
        </w:tc>
      </w:tr>
      <w:tr>
        <w:tc>
          <w:tcPr>
            <w:tcW w:type="dxa" w:w="1928"/>
            <w:shd w:val="clear" w:color="auto" w:fill="FFFDE7"/>
            <w:tcW w:w="1927" w:type="dxa"/>
          </w:tcPr>
          <w:p>
            <w:r>
              <w:rPr>
                <w:rFonts w:ascii="Calibri" w:hAnsi="Calibri"/>
                <w:sz w:val="19"/>
              </w:rPr>
              <w:t>CFR — Cost and Freight</w:t>
            </w:r>
          </w:p>
        </w:tc>
        <w:tc>
          <w:tcPr>
            <w:tcW w:type="dxa" w:w="1134"/>
            <w:shd w:val="clear" w:color="auto" w:fill="FFFDE7"/>
            <w:tcW w:w="1134" w:type="dxa"/>
          </w:tcPr>
          <w:p>
            <w:r>
              <w:rPr>
                <w:rFonts w:ascii="Calibri" w:hAnsi="Calibri"/>
                <w:sz w:val="19"/>
              </w:rPr>
              <w:t>Maritime</w:t>
            </w:r>
          </w:p>
        </w:tc>
        <w:tc>
          <w:tcPr>
            <w:tcW w:type="dxa" w:w="2608"/>
            <w:shd w:val="clear" w:color="auto" w:fill="FFFDE7"/>
            <w:tcW w:w="2608" w:type="dxa"/>
          </w:tcPr>
          <w:p>
            <w:r>
              <w:rPr>
                <w:rFonts w:ascii="Calibri" w:hAnsi="Calibri"/>
                <w:sz w:val="19"/>
              </w:rPr>
              <w:t>À bord au port d’embarquement (risque → acheteur).</w:t>
            </w:r>
          </w:p>
        </w:tc>
        <w:tc>
          <w:tcPr>
            <w:tcW w:type="dxa" w:w="2494"/>
            <w:shd w:val="clear" w:color="auto" w:fill="FFFDE7"/>
            <w:tcW w:w="2494" w:type="dxa"/>
          </w:tcPr>
          <w:p>
            <w:r>
              <w:rPr>
                <w:rFonts w:ascii="Calibri" w:hAnsi="Calibri"/>
                <w:sz w:val="19"/>
              </w:rPr>
              <w:t>Pré‑acheminement, chargement, export FR, fret jusqu’au port US.</w:t>
            </w:r>
          </w:p>
        </w:tc>
        <w:tc>
          <w:tcPr>
            <w:tcW w:type="dxa" w:w="2494"/>
            <w:shd w:val="clear" w:color="auto" w:fill="FFFDE7"/>
            <w:tcW w:w="2494" w:type="dxa"/>
          </w:tcPr>
          <w:p>
            <w:r>
              <w:rPr>
                <w:rFonts w:ascii="Calibri" w:hAnsi="Calibri"/>
                <w:sz w:val="19"/>
              </w:rPr>
              <w:t>Assurance, déchargement, import US, post‑acheminement.</w:t>
            </w:r>
          </w:p>
        </w:tc>
        <w:tc>
          <w:tcPr>
            <w:tcW w:type="dxa" w:w="2381"/>
            <w:shd w:val="clear" w:color="auto" w:fill="FFFDE7"/>
            <w:tcW w:w="2381" w:type="dxa"/>
          </w:tcPr>
          <w:p>
            <w:r>
              <w:rPr>
                <w:rFonts w:ascii="Calibri" w:hAnsi="Calibri"/>
                <w:sz w:val="19"/>
              </w:rPr>
              <w:t>Import US : acheteur. ISF 10+2 requis avant embarquement (par importateur).</w:t>
            </w:r>
          </w:p>
        </w:tc>
        <w:tc>
          <w:tcPr>
            <w:tcW w:type="dxa" w:w="2381"/>
            <w:shd w:val="clear" w:color="auto" w:fill="FFFDE7"/>
            <w:tcW w:w="2381" w:type="dxa"/>
          </w:tcPr>
          <w:p>
            <w:r>
              <w:rPr>
                <w:rFonts w:ascii="Calibri" w:hAnsi="Calibri"/>
                <w:sz w:val="19"/>
              </w:rPr>
              <w:t>CFR Le Havre → Port of Savannah (GA).</w:t>
            </w:r>
          </w:p>
        </w:tc>
      </w:tr>
      <w:tr>
        <w:tc>
          <w:tcPr>
            <w:tcW w:type="dxa" w:w="1928"/>
            <w:shd w:val="clear" w:color="auto" w:fill="FFF3E0"/>
            <w:tcW w:w="1927" w:type="dxa"/>
          </w:tcPr>
          <w:p>
            <w:r>
              <w:rPr>
                <w:rFonts w:ascii="Calibri" w:hAnsi="Calibri"/>
                <w:sz w:val="19"/>
              </w:rPr>
              <w:t>CIF — Cost, Insurance &amp; Freight</w:t>
            </w:r>
          </w:p>
        </w:tc>
        <w:tc>
          <w:tcPr>
            <w:tcW w:type="dxa" w:w="1134"/>
            <w:shd w:val="clear" w:color="auto" w:fill="FFF3E0"/>
            <w:tcW w:w="1134" w:type="dxa"/>
          </w:tcPr>
          <w:p>
            <w:r>
              <w:rPr>
                <w:rFonts w:ascii="Calibri" w:hAnsi="Calibri"/>
                <w:sz w:val="19"/>
              </w:rPr>
              <w:t>Maritime</w:t>
            </w:r>
          </w:p>
        </w:tc>
        <w:tc>
          <w:tcPr>
            <w:tcW w:type="dxa" w:w="2608"/>
            <w:shd w:val="clear" w:color="auto" w:fill="FFF3E0"/>
            <w:tcW w:w="2608" w:type="dxa"/>
          </w:tcPr>
          <w:p>
            <w:r>
              <w:rPr>
                <w:rFonts w:ascii="Calibri" w:hAnsi="Calibri"/>
                <w:sz w:val="19"/>
              </w:rPr>
              <w:t>À bord au port d’embarquement.</w:t>
            </w:r>
          </w:p>
        </w:tc>
        <w:tc>
          <w:tcPr>
            <w:tcW w:type="dxa" w:w="2494"/>
            <w:shd w:val="clear" w:color="auto" w:fill="FFF3E0"/>
            <w:tcW w:w="2494" w:type="dxa"/>
          </w:tcPr>
          <w:p>
            <w:r>
              <w:rPr>
                <w:rFonts w:ascii="Calibri" w:hAnsi="Calibri"/>
                <w:sz w:val="19"/>
              </w:rPr>
              <w:t>Pré‑acheminement, chargement, export FR, fret + **assurance min.** jusqu’au port US.</w:t>
            </w:r>
          </w:p>
        </w:tc>
        <w:tc>
          <w:tcPr>
            <w:tcW w:type="dxa" w:w="2494"/>
            <w:shd w:val="clear" w:color="auto" w:fill="FFF3E0"/>
            <w:tcW w:w="2494" w:type="dxa"/>
          </w:tcPr>
          <w:p>
            <w:r>
              <w:rPr>
                <w:rFonts w:ascii="Calibri" w:hAnsi="Calibri"/>
                <w:sz w:val="19"/>
              </w:rPr>
              <w:t>Déchargement, import US, post‑acheminement.</w:t>
            </w:r>
          </w:p>
        </w:tc>
        <w:tc>
          <w:tcPr>
            <w:tcW w:type="dxa" w:w="2381"/>
            <w:shd w:val="clear" w:color="auto" w:fill="FFF3E0"/>
            <w:tcW w:w="2381" w:type="dxa"/>
          </w:tcPr>
          <w:p>
            <w:r>
              <w:rPr>
                <w:rFonts w:ascii="Calibri" w:hAnsi="Calibri"/>
                <w:sz w:val="19"/>
              </w:rPr>
              <w:t>Assurance vendeur ICC(C) (min.) ; import US : acheteur (CBP, FDA/USDA selon produits).</w:t>
            </w:r>
          </w:p>
        </w:tc>
        <w:tc>
          <w:tcPr>
            <w:tcW w:type="dxa" w:w="2381"/>
            <w:shd w:val="clear" w:color="auto" w:fill="FFF3E0"/>
            <w:tcW w:w="2381" w:type="dxa"/>
          </w:tcPr>
          <w:p>
            <w:r>
              <w:rPr>
                <w:rFonts w:ascii="Calibri" w:hAnsi="Calibri"/>
                <w:sz w:val="19"/>
              </w:rPr>
              <w:t>CIF Fos‑sur‑Mer → Port of Houston (TX).</w:t>
            </w:r>
          </w:p>
        </w:tc>
      </w:tr>
      <w:tr>
        <w:tc>
          <w:tcPr>
            <w:tcW w:type="dxa" w:w="1928"/>
            <w:shd w:val="clear" w:color="auto" w:fill="FCE4EC"/>
            <w:tcW w:w="1927" w:type="dxa"/>
          </w:tcPr>
          <w:p>
            <w:r>
              <w:rPr>
                <w:rFonts w:ascii="Calibri" w:hAnsi="Calibri"/>
                <w:sz w:val="19"/>
              </w:rPr>
              <w:t>CPT — Carriage Paid To</w:t>
            </w:r>
          </w:p>
        </w:tc>
        <w:tc>
          <w:tcPr>
            <w:tcW w:type="dxa" w:w="1134"/>
            <w:shd w:val="clear" w:color="auto" w:fill="FCE4EC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FCE4EC"/>
            <w:tcW w:w="2608" w:type="dxa"/>
          </w:tcPr>
          <w:p>
            <w:r>
              <w:rPr>
                <w:rFonts w:ascii="Calibri" w:hAnsi="Calibri"/>
                <w:sz w:val="19"/>
              </w:rPr>
              <w:t>À la remise au 1er transporteur.</w:t>
            </w:r>
          </w:p>
        </w:tc>
        <w:tc>
          <w:tcPr>
            <w:tcW w:type="dxa" w:w="2494"/>
            <w:shd w:val="clear" w:color="auto" w:fill="FCE4EC"/>
            <w:tcW w:w="2494" w:type="dxa"/>
          </w:tcPr>
          <w:p>
            <w:r>
              <w:rPr>
                <w:rFonts w:ascii="Calibri" w:hAnsi="Calibri"/>
                <w:sz w:val="19"/>
              </w:rPr>
              <w:t>Transport principal payé jusqu’au lieu US + export FR.</w:t>
            </w:r>
          </w:p>
        </w:tc>
        <w:tc>
          <w:tcPr>
            <w:tcW w:type="dxa" w:w="2494"/>
            <w:shd w:val="clear" w:color="auto" w:fill="FCE4EC"/>
            <w:tcW w:w="2494" w:type="dxa"/>
          </w:tcPr>
          <w:p>
            <w:r>
              <w:rPr>
                <w:rFonts w:ascii="Calibri" w:hAnsi="Calibri"/>
                <w:sz w:val="19"/>
              </w:rPr>
              <w:t>Assurance (si souhaitée), import US, post‑acheminement local.</w:t>
            </w:r>
          </w:p>
        </w:tc>
        <w:tc>
          <w:tcPr>
            <w:tcW w:type="dxa" w:w="2381"/>
            <w:shd w:val="clear" w:color="auto" w:fill="FCE4EC"/>
            <w:tcW w:w="2381" w:type="dxa"/>
          </w:tcPr>
          <w:p>
            <w:r>
              <w:rPr>
                <w:rFonts w:ascii="Calibri" w:hAnsi="Calibri"/>
                <w:sz w:val="19"/>
              </w:rPr>
              <w:t>Import US : acheteur ; pour aérien express, fournir factures commerciales &amp; HTS code.</w:t>
            </w:r>
          </w:p>
        </w:tc>
        <w:tc>
          <w:tcPr>
            <w:tcW w:type="dxa" w:w="2381"/>
            <w:shd w:val="clear" w:color="auto" w:fill="FCE4EC"/>
            <w:tcW w:w="2381" w:type="dxa"/>
          </w:tcPr>
          <w:p>
            <w:r>
              <w:rPr>
                <w:rFonts w:ascii="Calibri" w:hAnsi="Calibri"/>
                <w:sz w:val="19"/>
              </w:rPr>
              <w:t>CPT Paris → Dallas (DFW) hub aérien.</w:t>
            </w:r>
          </w:p>
        </w:tc>
      </w:tr>
      <w:tr>
        <w:tc>
          <w:tcPr>
            <w:tcW w:type="dxa" w:w="1928"/>
            <w:shd w:val="clear" w:color="auto" w:fill="EDE7F6"/>
            <w:tcW w:w="1927" w:type="dxa"/>
          </w:tcPr>
          <w:p>
            <w:r>
              <w:rPr>
                <w:rFonts w:ascii="Calibri" w:hAnsi="Calibri"/>
                <w:sz w:val="19"/>
              </w:rPr>
              <w:t>CIP — Carriage &amp; Insurance Paid To</w:t>
            </w:r>
          </w:p>
        </w:tc>
        <w:tc>
          <w:tcPr>
            <w:tcW w:type="dxa" w:w="1134"/>
            <w:shd w:val="clear" w:color="auto" w:fill="EDE7F6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DE7F6"/>
            <w:tcW w:w="2608" w:type="dxa"/>
          </w:tcPr>
          <w:p>
            <w:r>
              <w:rPr>
                <w:rFonts w:ascii="Calibri" w:hAnsi="Calibri"/>
                <w:sz w:val="19"/>
              </w:rPr>
              <w:t>À la remise au 1er transporteur.</w:t>
            </w:r>
          </w:p>
        </w:tc>
        <w:tc>
          <w:tcPr>
            <w:tcW w:type="dxa" w:w="2494"/>
            <w:shd w:val="clear" w:color="auto" w:fill="EDE7F6"/>
            <w:tcW w:w="2494" w:type="dxa"/>
          </w:tcPr>
          <w:p>
            <w:r>
              <w:rPr>
                <w:rFonts w:ascii="Calibri" w:hAnsi="Calibri"/>
                <w:sz w:val="19"/>
              </w:rPr>
              <w:t>Transport principal + **assurance étendue ICC(A)** jusqu’au lieu US + export FR.</w:t>
            </w:r>
          </w:p>
        </w:tc>
        <w:tc>
          <w:tcPr>
            <w:tcW w:type="dxa" w:w="2494"/>
            <w:shd w:val="clear" w:color="auto" w:fill="EDE7F6"/>
            <w:tcW w:w="2494" w:type="dxa"/>
          </w:tcPr>
          <w:p>
            <w:r>
              <w:rPr>
                <w:rFonts w:ascii="Calibri" w:hAnsi="Calibri"/>
                <w:sz w:val="19"/>
              </w:rPr>
              <w:t>Import US, post‑acheminement.</w:t>
            </w:r>
          </w:p>
        </w:tc>
        <w:tc>
          <w:tcPr>
            <w:tcW w:type="dxa" w:w="2381"/>
            <w:shd w:val="clear" w:color="auto" w:fill="EDE7F6"/>
            <w:tcW w:w="2381" w:type="dxa"/>
          </w:tcPr>
          <w:p>
            <w:r>
              <w:rPr>
                <w:rFonts w:ascii="Calibri" w:hAnsi="Calibri"/>
                <w:sz w:val="19"/>
              </w:rPr>
              <w:t>Import US : acheteur ; conformité FDA/TSCA/FCC selon produits.</w:t>
            </w:r>
          </w:p>
        </w:tc>
        <w:tc>
          <w:tcPr>
            <w:tcW w:type="dxa" w:w="2381"/>
            <w:shd w:val="clear" w:color="auto" w:fill="EDE7F6"/>
            <w:tcW w:w="2381" w:type="dxa"/>
          </w:tcPr>
          <w:p>
            <w:r>
              <w:rPr>
                <w:rFonts w:ascii="Calibri" w:hAnsi="Calibri"/>
                <w:sz w:val="19"/>
              </w:rPr>
              <w:t>CIP Paris → Chicago entrepôt (assuré jusqu’au lieu).</w:t>
            </w:r>
          </w:p>
        </w:tc>
      </w:tr>
      <w:tr>
        <w:tc>
          <w:tcPr>
            <w:tcW w:type="dxa" w:w="1928"/>
            <w:shd w:val="clear" w:color="auto" w:fill="E3F2FD"/>
            <w:tcW w:w="1927" w:type="dxa"/>
          </w:tcPr>
          <w:p>
            <w:r>
              <w:rPr>
                <w:rFonts w:ascii="Calibri" w:hAnsi="Calibri"/>
                <w:sz w:val="19"/>
              </w:rPr>
              <w:t>DAP — Delivered At Place</w:t>
            </w:r>
          </w:p>
        </w:tc>
        <w:tc>
          <w:tcPr>
            <w:tcW w:type="dxa" w:w="1134"/>
            <w:shd w:val="clear" w:color="auto" w:fill="E3F2FD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3F2FD"/>
            <w:tcW w:w="2608" w:type="dxa"/>
          </w:tcPr>
          <w:p>
            <w:r>
              <w:rPr>
                <w:rFonts w:ascii="Calibri" w:hAnsi="Calibri"/>
                <w:sz w:val="19"/>
              </w:rPr>
              <w:t>À disposition au lieu US (non déchargé).</w:t>
            </w:r>
          </w:p>
        </w:tc>
        <w:tc>
          <w:tcPr>
            <w:tcW w:type="dxa" w:w="2494"/>
            <w:shd w:val="clear" w:color="auto" w:fill="E3F2FD"/>
            <w:tcW w:w="2494" w:type="dxa"/>
          </w:tcPr>
          <w:p>
            <w:r>
              <w:rPr>
                <w:rFonts w:ascii="Calibri" w:hAnsi="Calibri"/>
                <w:sz w:val="19"/>
              </w:rPr>
              <w:t>Tous transports jusqu’au lieu US (hors déchargement).</w:t>
            </w:r>
          </w:p>
        </w:tc>
        <w:tc>
          <w:tcPr>
            <w:tcW w:type="dxa" w:w="2494"/>
            <w:shd w:val="clear" w:color="auto" w:fill="E3F2FD"/>
            <w:tcW w:w="2494" w:type="dxa"/>
          </w:tcPr>
          <w:p>
            <w:r>
              <w:rPr>
                <w:rFonts w:ascii="Calibri" w:hAnsi="Calibri"/>
                <w:sz w:val="19"/>
              </w:rPr>
              <w:t>Déchargement + import US (droits/Taxes) par l’acheteur.</w:t>
            </w:r>
          </w:p>
        </w:tc>
        <w:tc>
          <w:tcPr>
            <w:tcW w:type="dxa" w:w="2381"/>
            <w:shd w:val="clear" w:color="auto" w:fill="E3F2FD"/>
            <w:tcW w:w="2381" w:type="dxa"/>
          </w:tcPr>
          <w:p>
            <w:r>
              <w:rPr>
                <w:rFonts w:ascii="Calibri" w:hAnsi="Calibri"/>
                <w:sz w:val="19"/>
              </w:rPr>
              <w:t>Import US : acheteur (CBP) ; prévoir RDV quai &amp; free time.</w:t>
            </w:r>
          </w:p>
        </w:tc>
        <w:tc>
          <w:tcPr>
            <w:tcW w:type="dxa" w:w="2381"/>
            <w:shd w:val="clear" w:color="auto" w:fill="E3F2FD"/>
            <w:tcW w:w="2381" w:type="dxa"/>
          </w:tcPr>
          <w:p>
            <w:r>
              <w:rPr>
                <w:rFonts w:ascii="Calibri" w:hAnsi="Calibri"/>
                <w:sz w:val="19"/>
              </w:rPr>
              <w:t>DAP entrepôt client à Dallas (TX).</w:t>
            </w:r>
          </w:p>
        </w:tc>
      </w:tr>
      <w:tr>
        <w:tc>
          <w:tcPr>
            <w:tcW w:type="dxa" w:w="1928"/>
            <w:shd w:val="clear" w:color="auto" w:fill="E1F5FE"/>
            <w:tcW w:w="1927" w:type="dxa"/>
          </w:tcPr>
          <w:p>
            <w:r>
              <w:rPr>
                <w:rFonts w:ascii="Calibri" w:hAnsi="Calibri"/>
                <w:sz w:val="19"/>
              </w:rPr>
              <w:t>DPU — Delivered At Place Unloaded</w:t>
            </w:r>
          </w:p>
        </w:tc>
        <w:tc>
          <w:tcPr>
            <w:tcW w:type="dxa" w:w="1134"/>
            <w:shd w:val="clear" w:color="auto" w:fill="E1F5FE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1F5FE"/>
            <w:tcW w:w="2608" w:type="dxa"/>
          </w:tcPr>
          <w:p>
            <w:r>
              <w:rPr>
                <w:rFonts w:ascii="Calibri" w:hAnsi="Calibri"/>
                <w:sz w:val="19"/>
              </w:rPr>
              <w:t>Après déchargement au lieu US.</w:t>
            </w:r>
          </w:p>
        </w:tc>
        <w:tc>
          <w:tcPr>
            <w:tcW w:type="dxa" w:w="2494"/>
            <w:shd w:val="clear" w:color="auto" w:fill="E1F5FE"/>
            <w:tcW w:w="2494" w:type="dxa"/>
          </w:tcPr>
          <w:p>
            <w:r>
              <w:rPr>
                <w:rFonts w:ascii="Calibri" w:hAnsi="Calibri"/>
                <w:sz w:val="19"/>
              </w:rPr>
              <w:t>Tous transports + déchargement au lieu US.</w:t>
            </w:r>
          </w:p>
        </w:tc>
        <w:tc>
          <w:tcPr>
            <w:tcW w:type="dxa" w:w="2494"/>
            <w:shd w:val="clear" w:color="auto" w:fill="E1F5FE"/>
            <w:tcW w:w="2494" w:type="dxa"/>
          </w:tcPr>
          <w:p>
            <w:r>
              <w:rPr>
                <w:rFonts w:ascii="Calibri" w:hAnsi="Calibri"/>
                <w:sz w:val="19"/>
              </w:rPr>
              <w:t>Import US (droits/Taxes) par l’acheteur.</w:t>
            </w:r>
          </w:p>
        </w:tc>
        <w:tc>
          <w:tcPr>
            <w:tcW w:type="dxa" w:w="2381"/>
            <w:shd w:val="clear" w:color="auto" w:fill="E1F5FE"/>
            <w:tcW w:w="2381" w:type="dxa"/>
          </w:tcPr>
          <w:p>
            <w:r>
              <w:rPr>
                <w:rFonts w:ascii="Calibri" w:hAnsi="Calibri"/>
                <w:sz w:val="19"/>
              </w:rPr>
              <w:t>Import US : acheteur ; bonne option pour livraisons chantier US.</w:t>
            </w:r>
          </w:p>
        </w:tc>
        <w:tc>
          <w:tcPr>
            <w:tcW w:type="dxa" w:w="2381"/>
            <w:shd w:val="clear" w:color="auto" w:fill="E1F5FE"/>
            <w:tcW w:w="2381" w:type="dxa"/>
          </w:tcPr>
          <w:p>
            <w:r>
              <w:rPr>
                <w:rFonts w:ascii="Calibri" w:hAnsi="Calibri"/>
                <w:sz w:val="19"/>
              </w:rPr>
              <w:t>DPU chantier Boston (MA) avec grue du vendeur.</w:t>
            </w:r>
          </w:p>
        </w:tc>
      </w:tr>
      <w:tr>
        <w:tc>
          <w:tcPr>
            <w:tcW w:type="dxa" w:w="1928"/>
            <w:shd w:val="clear" w:color="auto" w:fill="E0F7FA"/>
            <w:tcW w:w="1927" w:type="dxa"/>
          </w:tcPr>
          <w:p>
            <w:r>
              <w:rPr>
                <w:rFonts w:ascii="Calibri" w:hAnsi="Calibri"/>
                <w:sz w:val="19"/>
              </w:rPr>
              <w:t>DDP — Delivered Duty Paid</w:t>
            </w:r>
          </w:p>
        </w:tc>
        <w:tc>
          <w:tcPr>
            <w:tcW w:type="dxa" w:w="1134"/>
            <w:shd w:val="clear" w:color="auto" w:fill="E0F7FA"/>
            <w:tcW w:w="1134" w:type="dxa"/>
          </w:tcPr>
          <w:p>
            <w:r>
              <w:rPr>
                <w:rFonts w:ascii="Calibri" w:hAnsi="Calibri"/>
                <w:sz w:val="19"/>
              </w:rPr>
              <w:t>Tous</w:t>
            </w:r>
          </w:p>
        </w:tc>
        <w:tc>
          <w:tcPr>
            <w:tcW w:type="dxa" w:w="2608"/>
            <w:shd w:val="clear" w:color="auto" w:fill="E0F7FA"/>
            <w:tcW w:w="2608" w:type="dxa"/>
          </w:tcPr>
          <w:p>
            <w:r>
              <w:rPr>
                <w:rFonts w:ascii="Calibri" w:hAnsi="Calibri"/>
                <w:sz w:val="19"/>
              </w:rPr>
              <w:t>À disposition au lieu US (non déchargé).</w:t>
            </w:r>
          </w:p>
        </w:tc>
        <w:tc>
          <w:tcPr>
            <w:tcW w:type="dxa" w:w="2494"/>
            <w:shd w:val="clear" w:color="auto" w:fill="E0F7FA"/>
            <w:tcW w:w="2494" w:type="dxa"/>
          </w:tcPr>
          <w:p>
            <w:r>
              <w:rPr>
                <w:rFonts w:ascii="Calibri" w:hAnsi="Calibri"/>
                <w:sz w:val="19"/>
              </w:rPr>
              <w:t>Tous coûts y compris droits &amp; taxes **import US**.</w:t>
            </w:r>
          </w:p>
        </w:tc>
        <w:tc>
          <w:tcPr>
            <w:tcW w:type="dxa" w:w="2494"/>
            <w:shd w:val="clear" w:color="auto" w:fill="E0F7FA"/>
            <w:tcW w:w="2494" w:type="dxa"/>
          </w:tcPr>
          <w:p>
            <w:r>
              <w:rPr>
                <w:rFonts w:ascii="Calibri" w:hAnsi="Calibri"/>
                <w:sz w:val="19"/>
              </w:rPr>
              <w:t>Déchargement.</w:t>
            </w:r>
          </w:p>
        </w:tc>
        <w:tc>
          <w:tcPr>
            <w:tcW w:type="dxa" w:w="2381"/>
            <w:shd w:val="clear" w:color="auto" w:fill="E0F7FA"/>
            <w:tcW w:w="2381" w:type="dxa"/>
          </w:tcPr>
          <w:p>
            <w:r>
              <w:rPr>
                <w:rFonts w:ascii="Calibri" w:hAnsi="Calibri"/>
                <w:sz w:val="19"/>
              </w:rPr>
              <w:t>Vendeur devient Importer of Record (IOR) : complexe (immatriculation, broker US, taxes locales). À n’utiliser que si organisé.</w:t>
            </w:r>
          </w:p>
        </w:tc>
        <w:tc>
          <w:tcPr>
            <w:tcW w:type="dxa" w:w="2381"/>
            <w:shd w:val="clear" w:color="auto" w:fill="E0F7FA"/>
            <w:tcW w:w="2381" w:type="dxa"/>
          </w:tcPr>
          <w:p>
            <w:r>
              <w:rPr>
                <w:rFonts w:ascii="Calibri" w:hAnsi="Calibri"/>
                <w:sz w:val="19"/>
              </w:rPr>
              <w:t>DDP entrepôt client Atlanta (GA) avec broker du vendeur.</w:t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737" w:right="737" w:bottom="737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>lecoursgratuit.com — France → USA — Incoterms 2020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