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left"/>
      </w:pPr>
      <w:r>
        <w:rPr>
          <w:b/>
          <w:color w:val="0EA5E9"/>
          <w:sz w:val="52"/>
        </w:rPr>
        <w:t>Fiche de paie — 3 exemples didactiques (France 2025)</w:t>
      </w:r>
    </w:p>
    <w:p>
      <w:r>
        <w:rPr>
          <w:i/>
          <w:color w:val="6B7280"/>
          <w:sz w:val="20"/>
        </w:rPr>
        <w:t>Mise en forme couleur, titres clairs, structures prêtes à adapter à votre convention collective.</w:t>
      </w:r>
    </w:p>
    <w:p>
      <w:pPr>
        <w:spacing w:after="120"/>
        <w:jc w:val="left"/>
      </w:pPr>
      <w:r>
        <w:rPr>
          <w:b/>
          <w:color w:val="2563EB"/>
          <w:sz w:val="44"/>
        </w:rPr>
        <w:t>Exemple 1 — Fiche de paie simplifiée (A4)</w:t>
      </w:r>
    </w:p>
    <w:p>
      <w:r>
        <w:rPr>
          <w:i/>
          <w:color w:val="6B7280"/>
          <w:sz w:val="20"/>
        </w:rPr>
        <w:t>En‑tête (employeur / salarié / période — Septembre 2025)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2563EB"/>
          </w:tcPr>
          <w:p>
            <w:r>
              <w:rPr>
                <w:b/>
                <w:color w:val="FFFFFF"/>
              </w:rPr>
              <w:t>Employeur</w:t>
            </w:r>
          </w:p>
        </w:tc>
        <w:tc>
          <w:tcPr>
            <w:tcW w:type="dxa" w:w="2628"/>
            <w:shd w:val="clear" w:color="auto" w:fill="2563EB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628"/>
            <w:shd w:val="clear" w:color="auto" w:fill="2563EB"/>
          </w:tcPr>
          <w:p>
            <w:r>
              <w:rPr>
                <w:b/>
                <w:color w:val="FFFFFF"/>
              </w:rPr>
              <w:t>Salarié</w:t>
            </w:r>
          </w:p>
        </w:tc>
        <w:tc>
          <w:tcPr>
            <w:tcW w:type="dxa" w:w="2628"/>
            <w:shd w:val="clear" w:color="auto" w:fill="2563EB"/>
          </w:tcPr>
          <w:p>
            <w:r>
              <w:rPr>
                <w:b/>
                <w:color w:val="FFFFFF"/>
              </w:rPr>
              <w:t>Valeur</w:t>
            </w:r>
          </w:p>
        </w:tc>
      </w:tr>
      <w:tr>
        <w:tc>
          <w:tcPr>
            <w:tcW w:type="dxa" w:w="2628"/>
          </w:tcPr>
          <w:p>
            <w:r>
              <w:t>Raison sociale</w:t>
            </w:r>
          </w:p>
        </w:tc>
        <w:tc>
          <w:tcPr>
            <w:tcW w:type="dxa" w:w="2628"/>
          </w:tcPr>
          <w:p>
            <w:r>
              <w:t>[NOM DE L’ENTREPRISE]</w:t>
            </w:r>
          </w:p>
        </w:tc>
        <w:tc>
          <w:tcPr>
            <w:tcW w:type="dxa" w:w="2628"/>
          </w:tcPr>
          <w:p>
            <w:r>
              <w:t>Nom / Prénom</w:t>
            </w:r>
          </w:p>
        </w:tc>
        <w:tc>
          <w:tcPr>
            <w:tcW w:type="dxa" w:w="2628"/>
          </w:tcPr>
          <w:p>
            <w:r>
              <w:t>[NOM PRÉNOM]</w:t>
            </w:r>
          </w:p>
        </w:tc>
      </w:tr>
      <w:tr>
        <w:tc>
          <w:tcPr>
            <w:tcW w:type="dxa" w:w="2628"/>
          </w:tcPr>
          <w:p>
            <w:r>
              <w:t>SIRET / URSSAF / APE</w:t>
            </w:r>
          </w:p>
        </w:tc>
        <w:tc>
          <w:tcPr>
            <w:tcW w:type="dxa" w:w="2628"/>
          </w:tcPr>
          <w:p>
            <w:r>
              <w:t>[XXXXXXXXXXXXXX] / [N°] / [CODE]</w:t>
            </w:r>
          </w:p>
        </w:tc>
        <w:tc>
          <w:tcPr>
            <w:tcW w:type="dxa" w:w="2628"/>
          </w:tcPr>
          <w:p>
            <w:r>
              <w:t>Emploi / Contrat</w:t>
            </w:r>
          </w:p>
        </w:tc>
        <w:tc>
          <w:tcPr>
            <w:tcW w:type="dxa" w:w="2628"/>
          </w:tcPr>
          <w:p>
            <w:r>
              <w:t>[Intitulé] / [CDI]</w:t>
            </w:r>
          </w:p>
        </w:tc>
      </w:tr>
      <w:tr>
        <w:tc>
          <w:tcPr>
            <w:tcW w:type="dxa" w:w="2628"/>
          </w:tcPr>
          <w:p>
            <w:r>
              <w:t>Période</w:t>
            </w:r>
          </w:p>
        </w:tc>
        <w:tc>
          <w:tcPr>
            <w:tcW w:type="dxa" w:w="2628"/>
          </w:tcPr>
          <w:p>
            <w:r>
              <w:t>01–30/09/2025</w:t>
            </w:r>
          </w:p>
        </w:tc>
        <w:tc>
          <w:tcPr>
            <w:tcW w:type="dxa" w:w="2628"/>
          </w:tcPr>
          <w:p>
            <w:r>
              <w:t>Horaire</w:t>
            </w:r>
          </w:p>
        </w:tc>
        <w:tc>
          <w:tcPr>
            <w:tcW w:type="dxa" w:w="2628"/>
          </w:tcPr>
          <w:p>
            <w:r>
              <w:t>[35 h]</w:t>
            </w:r>
          </w:p>
        </w:tc>
      </w:tr>
    </w:tbl>
    <w:p>
      <w:r>
        <w:rPr>
          <w:i/>
          <w:color w:val="6B7280"/>
          <w:sz w:val="20"/>
        </w:rPr>
        <w:t>Rémunération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0EA5E9"/>
          </w:tcPr>
          <w:p>
            <w:r>
              <w:rPr>
                <w:b/>
                <w:color w:val="FFFFFF"/>
              </w:rPr>
              <w:t>Libellé</w:t>
            </w:r>
          </w:p>
        </w:tc>
        <w:tc>
          <w:tcPr>
            <w:tcW w:type="dxa" w:w="2628"/>
            <w:shd w:val="clear" w:color="auto" w:fill="0EA5E9"/>
          </w:tcPr>
          <w:p>
            <w:r>
              <w:rPr>
                <w:b/>
                <w:color w:val="FFFFFF"/>
              </w:rPr>
              <w:t>Base</w:t>
            </w:r>
          </w:p>
        </w:tc>
        <w:tc>
          <w:tcPr>
            <w:tcW w:type="dxa" w:w="2628"/>
            <w:shd w:val="clear" w:color="auto" w:fill="0EA5E9"/>
          </w:tcPr>
          <w:p>
            <w:r>
              <w:rPr>
                <w:b/>
                <w:color w:val="FFFFFF"/>
              </w:rPr>
              <w:t>Taux</w:t>
            </w:r>
          </w:p>
        </w:tc>
        <w:tc>
          <w:tcPr>
            <w:tcW w:type="dxa" w:w="2628"/>
            <w:shd w:val="clear" w:color="auto" w:fill="0EA5E9"/>
          </w:tcPr>
          <w:p>
            <w:r>
              <w:rPr>
                <w:b/>
                <w:color w:val="FFFFFF"/>
              </w:rPr>
              <w:t>Montant</w:t>
            </w:r>
          </w:p>
        </w:tc>
      </w:tr>
      <w:tr>
        <w:tc>
          <w:tcPr>
            <w:tcW w:type="dxa" w:w="2628"/>
          </w:tcPr>
          <w:p>
            <w:r>
              <w:t>Salaire de base</w:t>
            </w:r>
          </w:p>
        </w:tc>
        <w:tc>
          <w:tcPr>
            <w:tcW w:type="dxa" w:w="2628"/>
          </w:tcPr>
          <w:p>
            <w:r>
              <w:t>151,67 h</w:t>
            </w:r>
          </w:p>
        </w:tc>
        <w:tc>
          <w:tcPr>
            <w:tcW w:type="dxa" w:w="2628"/>
          </w:tcPr>
          <w:p>
            <w:r>
              <w:t>€ / h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  <w:tr>
        <w:tc>
          <w:tcPr>
            <w:tcW w:type="dxa" w:w="2628"/>
          </w:tcPr>
          <w:p>
            <w:r>
              <w:t>Heures sup 25 %</w:t>
            </w:r>
          </w:p>
        </w:tc>
        <w:tc>
          <w:tcPr>
            <w:tcW w:type="dxa" w:w="2628"/>
          </w:tcPr>
          <w:p>
            <w:r>
              <w:t>[h]</w:t>
            </w:r>
          </w:p>
        </w:tc>
        <w:tc>
          <w:tcPr>
            <w:tcW w:type="dxa" w:w="2628"/>
          </w:tcPr>
          <w:p>
            <w:r>
              <w:t>25 %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  <w:tr>
        <w:tc>
          <w:tcPr>
            <w:tcW w:type="dxa" w:w="2628"/>
          </w:tcPr>
          <w:p>
            <w:r>
              <w:t>Primes (ex. ancienneté)</w:t>
            </w:r>
          </w:p>
        </w:tc>
        <w:tc>
          <w:tcPr>
            <w:tcW w:type="dxa" w:w="2628"/>
          </w:tcPr>
          <w:p>
            <w:r>
              <w:t>[base]</w:t>
            </w:r>
          </w:p>
        </w:tc>
        <w:tc>
          <w:tcPr>
            <w:tcW w:type="dxa" w:w="2628"/>
          </w:tcPr>
          <w:p>
            <w:r>
              <w:t>[taux]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  <w:tr>
        <w:tc>
          <w:tcPr>
            <w:tcW w:type="dxa" w:w="2628"/>
          </w:tcPr>
          <w:p>
            <w:r>
              <w:t>Brut</w:t>
            </w:r>
          </w:p>
        </w:tc>
        <w:tc>
          <w:tcPr>
            <w:tcW w:type="dxa" w:w="2628"/>
          </w:tcPr>
          <w:p/>
        </w:tc>
        <w:tc>
          <w:tcPr>
            <w:tcW w:type="dxa" w:w="2628"/>
          </w:tcPr>
          <w:p/>
        </w:tc>
        <w:tc>
          <w:tcPr>
            <w:tcW w:type="dxa" w:w="2628"/>
          </w:tcPr>
          <w:p>
            <w:r>
              <w:t>[€]</w:t>
            </w:r>
          </w:p>
        </w:tc>
      </w:tr>
    </w:tbl>
    <w:p>
      <w:r>
        <w:rPr>
          <w:i/>
          <w:color w:val="6B7280"/>
          <w:sz w:val="20"/>
        </w:rPr>
        <w:t>Cotisations (présentation par familles)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502"/>
        <w:gridCol w:w="1502"/>
        <w:gridCol w:w="1502"/>
        <w:gridCol w:w="1502"/>
        <w:gridCol w:w="1502"/>
        <w:gridCol w:w="1502"/>
        <w:gridCol w:w="1502"/>
      </w:tblGrid>
      <w:tr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Famille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Rubrique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Base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Tx Sal.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Part Sal.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Tx Patr.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Part Patr.</w:t>
            </w:r>
          </w:p>
        </w:tc>
      </w:tr>
      <w:tr>
        <w:tc>
          <w:tcPr>
            <w:tcW w:type="dxa" w:w="1502"/>
          </w:tcPr>
          <w:p>
            <w:r>
              <w:t>Santé</w:t>
            </w:r>
          </w:p>
        </w:tc>
        <w:tc>
          <w:tcPr>
            <w:tcW w:type="dxa" w:w="1502"/>
          </w:tcPr>
          <w:p>
            <w:r>
              <w:t>Maladie‑maternité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</w:tr>
      <w:tr>
        <w:tc>
          <w:tcPr>
            <w:tcW w:type="dxa" w:w="1502"/>
          </w:tcPr>
          <w:p>
            <w:r>
              <w:t>Retraite</w:t>
            </w:r>
          </w:p>
        </w:tc>
        <w:tc>
          <w:tcPr>
            <w:tcW w:type="dxa" w:w="1502"/>
          </w:tcPr>
          <w:p>
            <w:r>
              <w:t>Vieillesse plafonnée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</w:tr>
      <w:tr>
        <w:tc>
          <w:tcPr>
            <w:tcW w:type="dxa" w:w="1502"/>
          </w:tcPr>
          <w:p>
            <w:r>
              <w:t>Retraite</w:t>
            </w:r>
          </w:p>
        </w:tc>
        <w:tc>
          <w:tcPr>
            <w:tcW w:type="dxa" w:w="1502"/>
          </w:tcPr>
          <w:p>
            <w:r>
              <w:t>Agirc‑Arrco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</w:tr>
      <w:tr>
        <w:tc>
          <w:tcPr>
            <w:tcW w:type="dxa" w:w="1502"/>
          </w:tcPr>
          <w:p>
            <w:r>
              <w:t>Chômage</w:t>
            </w:r>
          </w:p>
        </w:tc>
        <w:tc>
          <w:tcPr>
            <w:tcW w:type="dxa" w:w="1502"/>
          </w:tcPr>
          <w:p>
            <w:r>
              <w:t>Assurance chômage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—</w:t>
            </w:r>
          </w:p>
        </w:tc>
        <w:tc>
          <w:tcPr>
            <w:tcW w:type="dxa" w:w="1502"/>
          </w:tcPr>
          <w:p>
            <w:r>
              <w:t>—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</w:tr>
      <w:tr>
        <w:tc>
          <w:tcPr>
            <w:tcW w:type="dxa" w:w="1502"/>
          </w:tcPr>
          <w:p>
            <w:r>
              <w:t>CSG/CRDS</w:t>
            </w:r>
          </w:p>
        </w:tc>
        <w:tc>
          <w:tcPr>
            <w:tcW w:type="dxa" w:w="1502"/>
          </w:tcPr>
          <w:p>
            <w:r>
              <w:t>Base 98,25 %</w:t>
            </w:r>
          </w:p>
        </w:tc>
        <w:tc>
          <w:tcPr>
            <w:tcW w:type="dxa" w:w="1502"/>
          </w:tcPr>
          <w:p>
            <w:r>
              <w:t>[Base CSG]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—</w:t>
            </w:r>
          </w:p>
        </w:tc>
        <w:tc>
          <w:tcPr>
            <w:tcW w:type="dxa" w:w="1502"/>
          </w:tcPr>
          <w:p>
            <w:r>
              <w:t>—</w:t>
            </w:r>
          </w:p>
        </w:tc>
      </w:tr>
      <w:tr>
        <w:tc>
          <w:tcPr>
            <w:tcW w:type="dxa" w:w="1502"/>
          </w:tcPr>
          <w:p>
            <w:r>
              <w:t>Total</w:t>
            </w:r>
          </w:p>
        </w:tc>
        <w:tc>
          <w:tcPr>
            <w:tcW w:type="dxa" w:w="1502"/>
          </w:tcPr>
          <w:p>
            <w:r>
              <w:t>Accident du travail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—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</w:tr>
    </w:tbl>
    <w:p>
      <w:r>
        <w:rPr>
          <w:i/>
          <w:color w:val="6B7280"/>
          <w:sz w:val="20"/>
        </w:rPr>
        <w:t>Synthèse des montants nets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0EA5E9"/>
          </w:tcPr>
          <w:p>
            <w:r>
              <w:rPr>
                <w:b/>
                <w:color w:val="FFFFFF"/>
              </w:rPr>
              <w:t>Élément</w:t>
            </w:r>
          </w:p>
        </w:tc>
        <w:tc>
          <w:tcPr>
            <w:tcW w:type="dxa" w:w="5256"/>
            <w:shd w:val="clear" w:color="auto" w:fill="0EA5E9"/>
          </w:tcPr>
          <w:p>
            <w:r>
              <w:rPr>
                <w:b/>
                <w:color w:val="FFFFFF"/>
              </w:rPr>
              <w:t>Montant</w:t>
            </w:r>
          </w:p>
        </w:tc>
      </w:tr>
      <w:tr>
        <w:tc>
          <w:tcPr>
            <w:tcW w:type="dxa" w:w="5256"/>
          </w:tcPr>
          <w:p>
            <w:r>
              <w:t>Salaire brut</w:t>
            </w:r>
          </w:p>
        </w:tc>
        <w:tc>
          <w:tcPr>
            <w:tcW w:type="dxa" w:w="5256"/>
          </w:tcPr>
          <w:p>
            <w:r>
              <w:t>[€]</w:t>
            </w:r>
          </w:p>
        </w:tc>
      </w:tr>
      <w:tr>
        <w:tc>
          <w:tcPr>
            <w:tcW w:type="dxa" w:w="5256"/>
          </w:tcPr>
          <w:p>
            <w:r>
              <w:t>Retenues salariales</w:t>
            </w:r>
          </w:p>
        </w:tc>
        <w:tc>
          <w:tcPr>
            <w:tcW w:type="dxa" w:w="5256"/>
          </w:tcPr>
          <w:p>
            <w:r>
              <w:t>[€]</w:t>
            </w:r>
          </w:p>
        </w:tc>
      </w:tr>
      <w:tr>
        <w:tc>
          <w:tcPr>
            <w:tcW w:type="dxa" w:w="5256"/>
          </w:tcPr>
          <w:p>
            <w:r>
              <w:t>Net à payer avant impôt</w:t>
            </w:r>
          </w:p>
        </w:tc>
        <w:tc>
          <w:tcPr>
            <w:tcW w:type="dxa" w:w="5256"/>
          </w:tcPr>
          <w:p>
            <w:r>
              <w:t>[€]</w:t>
            </w:r>
          </w:p>
        </w:tc>
      </w:tr>
      <w:tr>
        <w:tc>
          <w:tcPr>
            <w:tcW w:type="dxa" w:w="5256"/>
          </w:tcPr>
          <w:p>
            <w:r>
              <w:t>Prélèvement à la source</w:t>
            </w:r>
          </w:p>
        </w:tc>
        <w:tc>
          <w:tcPr>
            <w:tcW w:type="dxa" w:w="5256"/>
          </w:tcPr>
          <w:p>
            <w:r>
              <w:t>[€]</w:t>
            </w:r>
          </w:p>
        </w:tc>
      </w:tr>
      <w:tr>
        <w:tc>
          <w:tcPr>
            <w:tcW w:type="dxa" w:w="5256"/>
          </w:tcPr>
          <w:p>
            <w:r>
              <w:t>Net à payer</w:t>
            </w:r>
          </w:p>
        </w:tc>
        <w:tc>
          <w:tcPr>
            <w:tcW w:type="dxa" w:w="5256"/>
          </w:tcPr>
          <w:p>
            <w:r>
              <w:t>[€]</w:t>
            </w:r>
          </w:p>
        </w:tc>
      </w:tr>
      <w:tr>
        <w:tc>
          <w:tcPr>
            <w:tcW w:type="dxa" w:w="5256"/>
          </w:tcPr>
          <w:p>
            <w:r>
              <w:t>Montant net social</w:t>
            </w:r>
          </w:p>
        </w:tc>
        <w:tc>
          <w:tcPr>
            <w:tcW w:type="dxa" w:w="5256"/>
          </w:tcPr>
          <w:p>
            <w:r>
              <w:t>[€]</w:t>
            </w:r>
          </w:p>
        </w:tc>
      </w:tr>
    </w:tbl>
    <w:p>
      <w:pPr>
        <w:spacing w:after="120"/>
        <w:jc w:val="left"/>
      </w:pPr>
      <w:r>
        <w:rPr>
          <w:b/>
          <w:color w:val="16A34A"/>
          <w:sz w:val="44"/>
        </w:rPr>
        <w:t>Exemple 2 — Fiche détaillée « clarifiée »</w:t>
      </w:r>
    </w:p>
    <w:p>
      <w:r>
        <w:rPr>
          <w:i/>
          <w:color w:val="6B7280"/>
          <w:sz w:val="20"/>
        </w:rPr>
        <w:t>Rémunération (codes, bases, taux) — Septembre 2025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102"/>
        <w:gridCol w:w="2102"/>
        <w:gridCol w:w="2102"/>
        <w:gridCol w:w="2102"/>
        <w:gridCol w:w="2102"/>
      </w:tblGrid>
      <w:tr>
        <w:tc>
          <w:tcPr>
            <w:tcW w:type="dxa" w:w="2102"/>
            <w:shd w:val="clear" w:color="auto" w:fill="16A34A"/>
          </w:tcPr>
          <w:p>
            <w:r>
              <w:rPr>
                <w:b/>
                <w:color w:val="FFFFFF"/>
              </w:rPr>
              <w:t>Code</w:t>
            </w:r>
          </w:p>
        </w:tc>
        <w:tc>
          <w:tcPr>
            <w:tcW w:type="dxa" w:w="2102"/>
            <w:shd w:val="clear" w:color="auto" w:fill="16A34A"/>
          </w:tcPr>
          <w:p>
            <w:r>
              <w:rPr>
                <w:b/>
                <w:color w:val="FFFFFF"/>
              </w:rPr>
              <w:t>Libellé</w:t>
            </w:r>
          </w:p>
        </w:tc>
        <w:tc>
          <w:tcPr>
            <w:tcW w:type="dxa" w:w="2102"/>
            <w:shd w:val="clear" w:color="auto" w:fill="16A34A"/>
          </w:tcPr>
          <w:p>
            <w:r>
              <w:rPr>
                <w:b/>
                <w:color w:val="FFFFFF"/>
              </w:rPr>
              <w:t>Base</w:t>
            </w:r>
          </w:p>
        </w:tc>
        <w:tc>
          <w:tcPr>
            <w:tcW w:type="dxa" w:w="2102"/>
            <w:shd w:val="clear" w:color="auto" w:fill="16A34A"/>
          </w:tcPr>
          <w:p>
            <w:r>
              <w:rPr>
                <w:b/>
                <w:color w:val="FFFFFF"/>
              </w:rPr>
              <w:t>Taux</w:t>
            </w:r>
          </w:p>
        </w:tc>
        <w:tc>
          <w:tcPr>
            <w:tcW w:type="dxa" w:w="2102"/>
            <w:shd w:val="clear" w:color="auto" w:fill="16A34A"/>
          </w:tcPr>
          <w:p>
            <w:r>
              <w:rPr>
                <w:b/>
                <w:color w:val="FFFFFF"/>
              </w:rPr>
              <w:t>Montant</w:t>
            </w:r>
          </w:p>
        </w:tc>
      </w:tr>
      <w:tr>
        <w:tc>
          <w:tcPr>
            <w:tcW w:type="dxa" w:w="2102"/>
          </w:tcPr>
          <w:p>
            <w:r>
              <w:t>001</w:t>
            </w:r>
          </w:p>
        </w:tc>
        <w:tc>
          <w:tcPr>
            <w:tcW w:type="dxa" w:w="2102"/>
          </w:tcPr>
          <w:p>
            <w:r>
              <w:t>Salaire de base</w:t>
            </w:r>
          </w:p>
        </w:tc>
        <w:tc>
          <w:tcPr>
            <w:tcW w:type="dxa" w:w="2102"/>
          </w:tcPr>
          <w:p>
            <w:r>
              <w:t>151,67 h</w:t>
            </w:r>
          </w:p>
        </w:tc>
        <w:tc>
          <w:tcPr>
            <w:tcW w:type="dxa" w:w="2102"/>
          </w:tcPr>
          <w:p>
            <w:r>
              <w:t>€ / h</w:t>
            </w:r>
          </w:p>
        </w:tc>
        <w:tc>
          <w:tcPr>
            <w:tcW w:type="dxa" w:w="2102"/>
          </w:tcPr>
          <w:p>
            <w:r>
              <w:t>[€]</w:t>
            </w:r>
          </w:p>
        </w:tc>
      </w:tr>
      <w:tr>
        <w:tc>
          <w:tcPr>
            <w:tcW w:type="dxa" w:w="2102"/>
          </w:tcPr>
          <w:p>
            <w:r>
              <w:t>010</w:t>
            </w:r>
          </w:p>
        </w:tc>
        <w:tc>
          <w:tcPr>
            <w:tcW w:type="dxa" w:w="2102"/>
          </w:tcPr>
          <w:p>
            <w:r>
              <w:t>Heures sup 25 %</w:t>
            </w:r>
          </w:p>
        </w:tc>
        <w:tc>
          <w:tcPr>
            <w:tcW w:type="dxa" w:w="2102"/>
          </w:tcPr>
          <w:p>
            <w:r>
              <w:t>[h]</w:t>
            </w:r>
          </w:p>
        </w:tc>
        <w:tc>
          <w:tcPr>
            <w:tcW w:type="dxa" w:w="2102"/>
          </w:tcPr>
          <w:p>
            <w:r>
              <w:t>25 %</w:t>
            </w:r>
          </w:p>
        </w:tc>
        <w:tc>
          <w:tcPr>
            <w:tcW w:type="dxa" w:w="2102"/>
          </w:tcPr>
          <w:p>
            <w:r>
              <w:t>[€]</w:t>
            </w:r>
          </w:p>
        </w:tc>
      </w:tr>
      <w:tr>
        <w:tc>
          <w:tcPr>
            <w:tcW w:type="dxa" w:w="2102"/>
          </w:tcPr>
          <w:p>
            <w:r>
              <w:t>020</w:t>
            </w:r>
          </w:p>
        </w:tc>
        <w:tc>
          <w:tcPr>
            <w:tcW w:type="dxa" w:w="2102"/>
          </w:tcPr>
          <w:p>
            <w:r>
              <w:t>Prime ancienneté</w:t>
            </w:r>
          </w:p>
        </w:tc>
        <w:tc>
          <w:tcPr>
            <w:tcW w:type="dxa" w:w="2102"/>
          </w:tcPr>
          <w:p>
            <w:r>
              <w:t>[€]</w:t>
            </w:r>
          </w:p>
        </w:tc>
        <w:tc>
          <w:tcPr>
            <w:tcW w:type="dxa" w:w="2102"/>
          </w:tcPr>
          <w:p>
            <w:r>
              <w:t>—</w:t>
            </w:r>
          </w:p>
        </w:tc>
        <w:tc>
          <w:tcPr>
            <w:tcW w:type="dxa" w:w="2102"/>
          </w:tcPr>
          <w:p>
            <w:r>
              <w:t>[€]</w:t>
            </w:r>
          </w:p>
        </w:tc>
      </w:tr>
      <w:tr>
        <w:tc>
          <w:tcPr>
            <w:tcW w:type="dxa" w:w="2102"/>
          </w:tcPr>
          <w:p>
            <w:r>
              <w:t>040</w:t>
            </w:r>
          </w:p>
        </w:tc>
        <w:tc>
          <w:tcPr>
            <w:tcW w:type="dxa" w:w="2102"/>
          </w:tcPr>
          <w:p>
            <w:r>
              <w:t>Avantage en nature (repas)</w:t>
            </w:r>
          </w:p>
        </w:tc>
        <w:tc>
          <w:tcPr>
            <w:tcW w:type="dxa" w:w="2102"/>
          </w:tcPr>
          <w:p>
            <w:r>
              <w:t>—</w:t>
            </w:r>
          </w:p>
        </w:tc>
        <w:tc>
          <w:tcPr>
            <w:tcW w:type="dxa" w:w="2102"/>
          </w:tcPr>
          <w:p>
            <w:r>
              <w:t>—</w:t>
            </w:r>
          </w:p>
        </w:tc>
        <w:tc>
          <w:tcPr>
            <w:tcW w:type="dxa" w:w="2102"/>
          </w:tcPr>
          <w:p>
            <w:r>
              <w:t>[€]</w:t>
            </w:r>
          </w:p>
        </w:tc>
      </w:tr>
      <w:tr>
        <w:tc>
          <w:tcPr>
            <w:tcW w:type="dxa" w:w="2102"/>
          </w:tcPr>
          <w:p>
            <w:r>
              <w:t>099</w:t>
            </w:r>
          </w:p>
        </w:tc>
        <w:tc>
          <w:tcPr>
            <w:tcW w:type="dxa" w:w="2102"/>
          </w:tcPr>
          <w:p>
            <w:r>
              <w:t>Brut</w:t>
            </w:r>
          </w:p>
        </w:tc>
        <w:tc>
          <w:tcPr>
            <w:tcW w:type="dxa" w:w="2102"/>
          </w:tcPr>
          <w:p>
            <w:r/>
          </w:p>
        </w:tc>
        <w:tc>
          <w:tcPr>
            <w:tcW w:type="dxa" w:w="2102"/>
          </w:tcPr>
          <w:p>
            <w:r/>
          </w:p>
        </w:tc>
        <w:tc>
          <w:tcPr>
            <w:tcW w:type="dxa" w:w="2102"/>
          </w:tcPr>
          <w:p>
            <w:r>
              <w:t>[€]</w:t>
            </w:r>
          </w:p>
        </w:tc>
      </w:tr>
    </w:tbl>
    <w:p>
      <w:r>
        <w:rPr>
          <w:i/>
          <w:color w:val="6B7280"/>
          <w:sz w:val="20"/>
        </w:rPr>
        <w:t>Cotisations par familles avec sous‑totaux + Cumul YTD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314"/>
        <w:gridCol w:w="1314"/>
        <w:gridCol w:w="1314"/>
        <w:gridCol w:w="1314"/>
        <w:gridCol w:w="1314"/>
        <w:gridCol w:w="1314"/>
        <w:gridCol w:w="1314"/>
        <w:gridCol w:w="1314"/>
      </w:tblGrid>
      <w:tr>
        <w:tc>
          <w:tcPr>
            <w:tcW w:type="dxa" w:w="1314"/>
            <w:shd w:val="clear" w:color="auto" w:fill="16A34A"/>
          </w:tcPr>
          <w:p>
            <w:r>
              <w:rPr>
                <w:b/>
                <w:color w:val="FFFFFF"/>
              </w:rPr>
              <w:t>Famille</w:t>
            </w:r>
          </w:p>
        </w:tc>
        <w:tc>
          <w:tcPr>
            <w:tcW w:type="dxa" w:w="1314"/>
            <w:shd w:val="clear" w:color="auto" w:fill="16A34A"/>
          </w:tcPr>
          <w:p>
            <w:r>
              <w:rPr>
                <w:b/>
                <w:color w:val="FFFFFF"/>
              </w:rPr>
              <w:t>Rubrique</w:t>
            </w:r>
          </w:p>
        </w:tc>
        <w:tc>
          <w:tcPr>
            <w:tcW w:type="dxa" w:w="1314"/>
            <w:shd w:val="clear" w:color="auto" w:fill="16A34A"/>
          </w:tcPr>
          <w:p>
            <w:r>
              <w:rPr>
                <w:b/>
                <w:color w:val="FFFFFF"/>
              </w:rPr>
              <w:t>Base</w:t>
            </w:r>
          </w:p>
        </w:tc>
        <w:tc>
          <w:tcPr>
            <w:tcW w:type="dxa" w:w="1314"/>
            <w:shd w:val="clear" w:color="auto" w:fill="16A34A"/>
          </w:tcPr>
          <w:p>
            <w:r>
              <w:rPr>
                <w:b/>
                <w:color w:val="FFFFFF"/>
              </w:rPr>
              <w:t>Tx Sal.</w:t>
            </w:r>
          </w:p>
        </w:tc>
        <w:tc>
          <w:tcPr>
            <w:tcW w:type="dxa" w:w="1314"/>
            <w:shd w:val="clear" w:color="auto" w:fill="16A34A"/>
          </w:tcPr>
          <w:p>
            <w:r>
              <w:rPr>
                <w:b/>
                <w:color w:val="FFFFFF"/>
              </w:rPr>
              <w:t>Part Sal.</w:t>
            </w:r>
          </w:p>
        </w:tc>
        <w:tc>
          <w:tcPr>
            <w:tcW w:type="dxa" w:w="1314"/>
            <w:shd w:val="clear" w:color="auto" w:fill="16A34A"/>
          </w:tcPr>
          <w:p>
            <w:r>
              <w:rPr>
                <w:b/>
                <w:color w:val="FFFFFF"/>
              </w:rPr>
              <w:t>Tx Patr.</w:t>
            </w:r>
          </w:p>
        </w:tc>
        <w:tc>
          <w:tcPr>
            <w:tcW w:type="dxa" w:w="1314"/>
            <w:shd w:val="clear" w:color="auto" w:fill="16A34A"/>
          </w:tcPr>
          <w:p>
            <w:r>
              <w:rPr>
                <w:b/>
                <w:color w:val="FFFFFF"/>
              </w:rPr>
              <w:t>Part Patr.</w:t>
            </w:r>
          </w:p>
        </w:tc>
        <w:tc>
          <w:tcPr>
            <w:tcW w:type="dxa" w:w="1314"/>
            <w:shd w:val="clear" w:color="auto" w:fill="16A34A"/>
          </w:tcPr>
          <w:p>
            <w:r>
              <w:rPr>
                <w:b/>
                <w:color w:val="FFFFFF"/>
              </w:rPr>
              <w:t>Cumul YTD</w:t>
            </w:r>
          </w:p>
        </w:tc>
      </w:tr>
      <w:tr>
        <w:tc>
          <w:tcPr>
            <w:tcW w:type="dxa" w:w="1314"/>
          </w:tcPr>
          <w:p>
            <w:r>
              <w:t>Santé</w:t>
            </w:r>
          </w:p>
        </w:tc>
        <w:tc>
          <w:tcPr>
            <w:tcW w:type="dxa" w:w="1314"/>
          </w:tcPr>
          <w:p>
            <w:r>
              <w:t>Maladie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 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 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</w:tr>
      <w:tr>
        <w:tc>
          <w:tcPr>
            <w:tcW w:type="dxa" w:w="1314"/>
          </w:tcPr>
          <w:p>
            <w:r>
              <w:t>Santé</w:t>
            </w:r>
          </w:p>
        </w:tc>
        <w:tc>
          <w:tcPr>
            <w:tcW w:type="dxa" w:w="1314"/>
          </w:tcPr>
          <w:p>
            <w:r>
              <w:t>Complémentaire santé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 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 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</w:tr>
      <w:tr>
        <w:tc>
          <w:tcPr>
            <w:tcW w:type="dxa" w:w="1314"/>
          </w:tcPr>
          <w:p>
            <w:r>
              <w:t>Santé</w:t>
            </w:r>
          </w:p>
        </w:tc>
        <w:tc>
          <w:tcPr>
            <w:tcW w:type="dxa" w:w="1314"/>
          </w:tcPr>
          <w:p>
            <w:r>
              <w:t>Sous‑total Santé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</w:tr>
      <w:tr>
        <w:tc>
          <w:tcPr>
            <w:tcW w:type="dxa" w:w="1314"/>
          </w:tcPr>
          <w:p>
            <w:r>
              <w:t>Retraite</w:t>
            </w:r>
          </w:p>
        </w:tc>
        <w:tc>
          <w:tcPr>
            <w:tcW w:type="dxa" w:w="1314"/>
          </w:tcPr>
          <w:p>
            <w:r>
              <w:t>Vieillesse plafonnée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 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 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</w:tr>
      <w:tr>
        <w:tc>
          <w:tcPr>
            <w:tcW w:type="dxa" w:w="1314"/>
          </w:tcPr>
          <w:p>
            <w:r>
              <w:t>Retraite</w:t>
            </w:r>
          </w:p>
        </w:tc>
        <w:tc>
          <w:tcPr>
            <w:tcW w:type="dxa" w:w="1314"/>
          </w:tcPr>
          <w:p>
            <w:r>
              <w:t>Agirc‑Arrco T1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 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 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</w:tr>
      <w:tr>
        <w:tc>
          <w:tcPr>
            <w:tcW w:type="dxa" w:w="1314"/>
          </w:tcPr>
          <w:p>
            <w:r>
              <w:t>Retraite</w:t>
            </w:r>
          </w:p>
        </w:tc>
        <w:tc>
          <w:tcPr>
            <w:tcW w:type="dxa" w:w="1314"/>
          </w:tcPr>
          <w:p>
            <w:r>
              <w:t>Sous‑total Retraite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/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</w:tr>
      <w:tr>
        <w:tc>
          <w:tcPr>
            <w:tcW w:type="dxa" w:w="1314"/>
          </w:tcPr>
          <w:p>
            <w:r>
              <w:t>CSG/CRDS</w:t>
            </w:r>
          </w:p>
        </w:tc>
        <w:tc>
          <w:tcPr>
            <w:tcW w:type="dxa" w:w="1314"/>
          </w:tcPr>
          <w:p>
            <w:r>
              <w:t>CSG déductible</w:t>
            </w:r>
          </w:p>
        </w:tc>
        <w:tc>
          <w:tcPr>
            <w:tcW w:type="dxa" w:w="1314"/>
          </w:tcPr>
          <w:p>
            <w:r>
              <w:t>[Base CSG]</w:t>
            </w:r>
          </w:p>
        </w:tc>
        <w:tc>
          <w:tcPr>
            <w:tcW w:type="dxa" w:w="1314"/>
          </w:tcPr>
          <w:p>
            <w:r>
              <w:t>[ 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—</w:t>
            </w:r>
          </w:p>
        </w:tc>
        <w:tc>
          <w:tcPr>
            <w:tcW w:type="dxa" w:w="1314"/>
          </w:tcPr>
          <w:p>
            <w:r>
              <w:t>—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</w:tr>
      <w:tr>
        <w:tc>
          <w:tcPr>
            <w:tcW w:type="dxa" w:w="1314"/>
          </w:tcPr>
          <w:p>
            <w:r>
              <w:t>Total cotisations</w:t>
            </w:r>
          </w:p>
        </w:tc>
        <w:tc>
          <w:tcPr>
            <w:tcW w:type="dxa" w:w="1314"/>
          </w:tcPr>
          <w:p>
            <w:r>
              <w:t>CSG non déductible</w:t>
            </w:r>
          </w:p>
        </w:tc>
        <w:tc>
          <w:tcPr>
            <w:tcW w:type="dxa" w:w="1314"/>
          </w:tcPr>
          <w:p>
            <w:r>
              <w:t>[Base CSG]</w:t>
            </w:r>
          </w:p>
        </w:tc>
        <w:tc>
          <w:tcPr>
            <w:tcW w:type="dxa" w:w="1314"/>
          </w:tcPr>
          <w:p>
            <w:r>
              <w:t>[ 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—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  <w:tc>
          <w:tcPr>
            <w:tcW w:type="dxa" w:w="1314"/>
          </w:tcPr>
          <w:p>
            <w:r>
              <w:t>[€]</w:t>
            </w:r>
          </w:p>
        </w:tc>
      </w:tr>
    </w:tbl>
    <w:p>
      <w:r>
        <w:rPr>
          <w:i/>
          <w:color w:val="6B7280"/>
          <w:sz w:val="20"/>
        </w:rPr>
        <w:t>Synthèse fiscale et sociale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  <w:shd w:val="clear" w:color="auto" w:fill="16A34A"/>
          </w:tcPr>
          <w:p>
            <w:r>
              <w:rPr>
                <w:b/>
                <w:color w:val="FFFFFF"/>
              </w:rPr>
              <w:t>Élément</w:t>
            </w:r>
          </w:p>
        </w:tc>
        <w:tc>
          <w:tcPr>
            <w:tcW w:type="dxa" w:w="3504"/>
            <w:shd w:val="clear" w:color="auto" w:fill="16A34A"/>
          </w:tcPr>
          <w:p>
            <w:r>
              <w:rPr>
                <w:b/>
                <w:color w:val="FFFFFF"/>
              </w:rPr>
              <w:t>Détail</w:t>
            </w:r>
          </w:p>
        </w:tc>
        <w:tc>
          <w:tcPr>
            <w:tcW w:type="dxa" w:w="3504"/>
            <w:shd w:val="clear" w:color="auto" w:fill="16A34A"/>
          </w:tcPr>
          <w:p>
            <w:r>
              <w:rPr>
                <w:b/>
                <w:color w:val="FFFFFF"/>
              </w:rPr>
              <w:t>Montant</w:t>
            </w:r>
          </w:p>
        </w:tc>
      </w:tr>
      <w:tr>
        <w:tc>
          <w:tcPr>
            <w:tcW w:type="dxa" w:w="3504"/>
          </w:tcPr>
          <w:p>
            <w:r>
              <w:t>Net à payer avant impôt</w:t>
            </w:r>
          </w:p>
        </w:tc>
        <w:tc>
          <w:tcPr>
            <w:tcW w:type="dxa" w:w="3504"/>
          </w:tcPr>
          <w:p>
            <w:r>
              <w:t>Brut – retenues salariales</w:t>
            </w:r>
          </w:p>
        </w:tc>
        <w:tc>
          <w:tcPr>
            <w:tcW w:type="dxa" w:w="3504"/>
          </w:tcPr>
          <w:p>
            <w:r>
              <w:t>[€]</w:t>
            </w:r>
          </w:p>
        </w:tc>
      </w:tr>
      <w:tr>
        <w:tc>
          <w:tcPr>
            <w:tcW w:type="dxa" w:w="3504"/>
          </w:tcPr>
          <w:p>
            <w:r>
              <w:t>Prélèvement à la source</w:t>
            </w:r>
          </w:p>
        </w:tc>
        <w:tc>
          <w:tcPr>
            <w:tcW w:type="dxa" w:w="3504"/>
          </w:tcPr>
          <w:p>
            <w:r>
              <w:t>Taux [xx %] × Base [€]</w:t>
            </w:r>
          </w:p>
        </w:tc>
        <w:tc>
          <w:tcPr>
            <w:tcW w:type="dxa" w:w="3504"/>
          </w:tcPr>
          <w:p>
            <w:r>
              <w:t>[€]</w:t>
            </w:r>
          </w:p>
        </w:tc>
      </w:tr>
      <w:tr>
        <w:tc>
          <w:tcPr>
            <w:tcW w:type="dxa" w:w="3504"/>
          </w:tcPr>
          <w:p>
            <w:r>
              <w:t>Net à payer</w:t>
            </w:r>
          </w:p>
        </w:tc>
        <w:tc>
          <w:tcPr>
            <w:tcW w:type="dxa" w:w="3504"/>
          </w:tcPr>
          <w:p>
            <w:r/>
          </w:p>
        </w:tc>
        <w:tc>
          <w:tcPr>
            <w:tcW w:type="dxa" w:w="3504"/>
          </w:tcPr>
          <w:p>
            <w:r>
              <w:t>[€]</w:t>
            </w:r>
          </w:p>
        </w:tc>
      </w:tr>
      <w:tr>
        <w:tc>
          <w:tcPr>
            <w:tcW w:type="dxa" w:w="3504"/>
          </w:tcPr>
          <w:p>
            <w:r>
              <w:t>Montant net social</w:t>
            </w:r>
          </w:p>
        </w:tc>
        <w:tc>
          <w:tcPr>
            <w:tcW w:type="dxa" w:w="3504"/>
          </w:tcPr>
          <w:p>
            <w:r>
              <w:t>Affichage distinct obligatoire</w:t>
            </w:r>
          </w:p>
        </w:tc>
        <w:tc>
          <w:tcPr>
            <w:tcW w:type="dxa" w:w="3504"/>
          </w:tcPr>
          <w:p>
            <w:r>
              <w:t>[€]</w:t>
            </w:r>
          </w:p>
        </w:tc>
      </w:tr>
      <w:tr>
        <w:tc>
          <w:tcPr>
            <w:tcW w:type="dxa" w:w="3504"/>
          </w:tcPr>
          <w:p>
            <w:r>
              <w:t>Cumul YTD (Brut/Net/Net impos./Net social)</w:t>
            </w:r>
          </w:p>
        </w:tc>
        <w:tc>
          <w:tcPr>
            <w:tcW w:type="dxa" w:w="3504"/>
          </w:tcPr>
          <w:p>
            <w:r/>
          </w:p>
        </w:tc>
        <w:tc>
          <w:tcPr>
            <w:tcW w:type="dxa" w:w="3504"/>
          </w:tcPr>
          <w:p>
            <w:r>
              <w:t>[€]/[€]/[€]/[€]</w:t>
            </w:r>
          </w:p>
        </w:tc>
      </w:tr>
    </w:tbl>
    <w:p>
      <w:pPr>
        <w:spacing w:after="120"/>
        <w:jc w:val="left"/>
      </w:pPr>
      <w:r>
        <w:rPr>
          <w:b/>
          <w:color w:val="F59E0B"/>
          <w:sz w:val="44"/>
        </w:rPr>
        <w:t>Exemple 3 — Temps partiel &amp; Apprentissage</w:t>
      </w:r>
    </w:p>
    <w:p>
      <w:r>
        <w:rPr>
          <w:i/>
          <w:color w:val="6B7280"/>
          <w:sz w:val="20"/>
        </w:rPr>
        <w:t>Temps partiel — 24 h/sem. — Septembre 2025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Libellé</w:t>
            </w:r>
          </w:p>
        </w:tc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Base</w:t>
            </w:r>
          </w:p>
        </w:tc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Majoration</w:t>
            </w:r>
          </w:p>
        </w:tc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Montant</w:t>
            </w:r>
          </w:p>
        </w:tc>
      </w:tr>
      <w:tr>
        <w:tc>
          <w:tcPr>
            <w:tcW w:type="dxa" w:w="2628"/>
          </w:tcPr>
          <w:p>
            <w:r>
              <w:t>Salaire de base (24 h/sem.)</w:t>
            </w:r>
          </w:p>
        </w:tc>
        <w:tc>
          <w:tcPr>
            <w:tcW w:type="dxa" w:w="2628"/>
          </w:tcPr>
          <w:p>
            <w:r>
              <w:t>104 h</w:t>
            </w:r>
          </w:p>
        </w:tc>
        <w:tc>
          <w:tcPr>
            <w:tcW w:type="dxa" w:w="2628"/>
          </w:tcPr>
          <w:p>
            <w:r>
              <w:t>€ / h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  <w:tr>
        <w:tc>
          <w:tcPr>
            <w:tcW w:type="dxa" w:w="2628"/>
          </w:tcPr>
          <w:p>
            <w:r>
              <w:t>Heures complémentaires (≤ 1/10)</w:t>
            </w:r>
          </w:p>
        </w:tc>
        <w:tc>
          <w:tcPr>
            <w:tcW w:type="dxa" w:w="2628"/>
          </w:tcPr>
          <w:p>
            <w:r>
              <w:t>[h]</w:t>
            </w:r>
          </w:p>
        </w:tc>
        <w:tc>
          <w:tcPr>
            <w:tcW w:type="dxa" w:w="2628"/>
          </w:tcPr>
          <w:p>
            <w:r>
              <w:t>+10 %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  <w:tr>
        <w:tc>
          <w:tcPr>
            <w:tcW w:type="dxa" w:w="2628"/>
          </w:tcPr>
          <w:p>
            <w:r>
              <w:t>Heures complémentaires (au‑delà ≤ 1/3)</w:t>
            </w:r>
          </w:p>
        </w:tc>
        <w:tc>
          <w:tcPr>
            <w:tcW w:type="dxa" w:w="2628"/>
          </w:tcPr>
          <w:p>
            <w:r>
              <w:t>[h]</w:t>
            </w:r>
          </w:p>
        </w:tc>
        <w:tc>
          <w:tcPr>
            <w:tcW w:type="dxa" w:w="2628"/>
          </w:tcPr>
          <w:p>
            <w:r>
              <w:t>+25 %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  <w:tr>
        <w:tc>
          <w:tcPr>
            <w:tcW w:type="dxa" w:w="2628"/>
          </w:tcPr>
          <w:p>
            <w:r>
              <w:t>Majoration dimanche/jour férié (si applicable)</w:t>
            </w:r>
          </w:p>
        </w:tc>
        <w:tc>
          <w:tcPr>
            <w:tcW w:type="dxa" w:w="2628"/>
          </w:tcPr>
          <w:p>
            <w:r>
              <w:t>[h]</w:t>
            </w:r>
          </w:p>
        </w:tc>
        <w:tc>
          <w:tcPr>
            <w:tcW w:type="dxa" w:w="2628"/>
          </w:tcPr>
          <w:p>
            <w:r>
              <w:t>[taux]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  <w:tr>
        <w:tc>
          <w:tcPr>
            <w:tcW w:type="dxa" w:w="2628"/>
          </w:tcPr>
          <w:p>
            <w:r>
              <w:t>Brut</w:t>
            </w:r>
          </w:p>
        </w:tc>
        <w:tc>
          <w:tcPr>
            <w:tcW w:type="dxa" w:w="2628"/>
          </w:tcPr>
          <w:p>
            <w:r/>
          </w:p>
        </w:tc>
        <w:tc>
          <w:tcPr>
            <w:tcW w:type="dxa" w:w="2628"/>
          </w:tcPr>
          <w:p>
            <w:r/>
          </w:p>
        </w:tc>
        <w:tc>
          <w:tcPr>
            <w:tcW w:type="dxa" w:w="2628"/>
          </w:tcPr>
          <w:p>
            <w:r>
              <w:t>[€]</w:t>
            </w:r>
          </w:p>
        </w:tc>
      </w:tr>
    </w:tbl>
    <w:p>
      <w:r>
        <w:rPr>
          <w:i/>
          <w:color w:val="6B7280"/>
          <w:sz w:val="20"/>
        </w:rPr>
        <w:t>Apprentissage — barème paramétrique (à adapter)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Âge / Année</w:t>
            </w:r>
          </w:p>
        </w:tc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% SMIC</w:t>
            </w:r>
          </w:p>
        </w:tc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Base mensuelle</w:t>
            </w:r>
          </w:p>
        </w:tc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Montant</w:t>
            </w:r>
          </w:p>
        </w:tc>
      </w:tr>
      <w:tr>
        <w:tc>
          <w:tcPr>
            <w:tcW w:type="dxa" w:w="2628"/>
          </w:tcPr>
          <w:p>
            <w:r>
              <w:t>&lt; 18 ans — 1re année</w:t>
            </w:r>
          </w:p>
        </w:tc>
        <w:tc>
          <w:tcPr>
            <w:tcW w:type="dxa" w:w="2628"/>
          </w:tcPr>
          <w:p>
            <w:r>
              <w:t>43 %</w:t>
            </w:r>
          </w:p>
        </w:tc>
        <w:tc>
          <w:tcPr>
            <w:tcW w:type="dxa" w:w="2628"/>
          </w:tcPr>
          <w:p>
            <w:r>
              <w:t>SMIC 2025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  <w:tr>
        <w:tc>
          <w:tcPr>
            <w:tcW w:type="dxa" w:w="2628"/>
          </w:tcPr>
          <w:p>
            <w:r>
              <w:t>18–20 ans — 1re année</w:t>
            </w:r>
          </w:p>
        </w:tc>
        <w:tc>
          <w:tcPr>
            <w:tcW w:type="dxa" w:w="2628"/>
          </w:tcPr>
          <w:p>
            <w:r>
              <w:t>54 %</w:t>
            </w:r>
          </w:p>
        </w:tc>
        <w:tc>
          <w:tcPr>
            <w:tcW w:type="dxa" w:w="2628"/>
          </w:tcPr>
          <w:p>
            <w:r>
              <w:t>SMIC 2025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  <w:tr>
        <w:tc>
          <w:tcPr>
            <w:tcW w:type="dxa" w:w="2628"/>
          </w:tcPr>
          <w:p>
            <w:r>
              <w:t>21–25 ans — 1re année</w:t>
            </w:r>
          </w:p>
        </w:tc>
        <w:tc>
          <w:tcPr>
            <w:tcW w:type="dxa" w:w="2628"/>
          </w:tcPr>
          <w:p>
            <w:r>
              <w:t>70 %</w:t>
            </w:r>
          </w:p>
        </w:tc>
        <w:tc>
          <w:tcPr>
            <w:tcW w:type="dxa" w:w="2628"/>
          </w:tcPr>
          <w:p>
            <w:r>
              <w:t>SMIC 2025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  <w:tr>
        <w:tc>
          <w:tcPr>
            <w:tcW w:type="dxa" w:w="2628"/>
          </w:tcPr>
          <w:p>
            <w:r>
              <w:t>≥ 26 ans</w:t>
            </w:r>
          </w:p>
        </w:tc>
        <w:tc>
          <w:tcPr>
            <w:tcW w:type="dxa" w:w="2628"/>
          </w:tcPr>
          <w:p>
            <w:r>
              <w:t>≥ 100 %</w:t>
            </w:r>
          </w:p>
        </w:tc>
        <w:tc>
          <w:tcPr>
            <w:tcW w:type="dxa" w:w="2628"/>
          </w:tcPr>
          <w:p>
            <w:r>
              <w:t>SMIC/SMC</w:t>
            </w:r>
          </w:p>
        </w:tc>
        <w:tc>
          <w:tcPr>
            <w:tcW w:type="dxa" w:w="2628"/>
          </w:tcPr>
          <w:p>
            <w:r>
              <w:t>[€]</w:t>
            </w:r>
          </w:p>
        </w:tc>
      </w:tr>
    </w:tbl>
    <w:p>
      <w:r>
        <w:rPr>
          <w:i/>
          <w:color w:val="6B7280"/>
          <w:sz w:val="20"/>
        </w:rPr>
        <w:t>Cotisations &amp; exonérations (extrait)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502"/>
        <w:gridCol w:w="1502"/>
        <w:gridCol w:w="1502"/>
        <w:gridCol w:w="1502"/>
        <w:gridCol w:w="1502"/>
        <w:gridCol w:w="1502"/>
        <w:gridCol w:w="1502"/>
      </w:tblGrid>
      <w:tr>
        <w:tc>
          <w:tcPr>
            <w:tcW w:type="dxa" w:w="1502"/>
            <w:shd w:val="clear" w:color="auto" w:fill="F59E0B"/>
          </w:tcPr>
          <w:p>
            <w:r>
              <w:rPr>
                <w:b/>
                <w:color w:val="FFFFFF"/>
              </w:rPr>
              <w:t>Rubrique</w:t>
            </w:r>
          </w:p>
        </w:tc>
        <w:tc>
          <w:tcPr>
            <w:tcW w:type="dxa" w:w="1502"/>
            <w:shd w:val="clear" w:color="auto" w:fill="F59E0B"/>
          </w:tcPr>
          <w:p>
            <w:r>
              <w:rPr>
                <w:b/>
                <w:color w:val="FFFFFF"/>
              </w:rPr>
              <w:t>Base</w:t>
            </w:r>
          </w:p>
        </w:tc>
        <w:tc>
          <w:tcPr>
            <w:tcW w:type="dxa" w:w="1502"/>
            <w:shd w:val="clear" w:color="auto" w:fill="F59E0B"/>
          </w:tcPr>
          <w:p>
            <w:r>
              <w:rPr>
                <w:b/>
                <w:color w:val="FFFFFF"/>
              </w:rPr>
              <w:t>Tx Sal.</w:t>
            </w:r>
          </w:p>
        </w:tc>
        <w:tc>
          <w:tcPr>
            <w:tcW w:type="dxa" w:w="1502"/>
            <w:shd w:val="clear" w:color="auto" w:fill="F59E0B"/>
          </w:tcPr>
          <w:p>
            <w:r>
              <w:rPr>
                <w:b/>
                <w:color w:val="FFFFFF"/>
              </w:rPr>
              <w:t>Part Sal.</w:t>
            </w:r>
          </w:p>
        </w:tc>
        <w:tc>
          <w:tcPr>
            <w:tcW w:type="dxa" w:w="1502"/>
            <w:shd w:val="clear" w:color="auto" w:fill="F59E0B"/>
          </w:tcPr>
          <w:p>
            <w:r>
              <w:rPr>
                <w:b/>
                <w:color w:val="FFFFFF"/>
              </w:rPr>
              <w:t>Tx Patr.</w:t>
            </w:r>
          </w:p>
        </w:tc>
        <w:tc>
          <w:tcPr>
            <w:tcW w:type="dxa" w:w="1502"/>
            <w:shd w:val="clear" w:color="auto" w:fill="F59E0B"/>
          </w:tcPr>
          <w:p>
            <w:r>
              <w:rPr>
                <w:b/>
                <w:color w:val="FFFFFF"/>
              </w:rPr>
              <w:t>Part Patr.</w:t>
            </w:r>
          </w:p>
        </w:tc>
        <w:tc>
          <w:tcPr>
            <w:tcW w:type="dxa" w:w="1502"/>
            <w:shd w:val="clear" w:color="auto" w:fill="F59E0B"/>
          </w:tcPr>
          <w:p>
            <w:r>
              <w:rPr>
                <w:b/>
                <w:color w:val="FFFFFF"/>
              </w:rPr>
              <w:t>Note</w:t>
            </w:r>
          </w:p>
        </w:tc>
      </w:tr>
      <w:tr>
        <w:tc>
          <w:tcPr>
            <w:tcW w:type="dxa" w:w="1502"/>
          </w:tcPr>
          <w:p>
            <w:r>
              <w:t>Maladie‑maternité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/>
          </w:p>
        </w:tc>
      </w:tr>
      <w:tr>
        <w:tc>
          <w:tcPr>
            <w:tcW w:type="dxa" w:w="1502"/>
          </w:tcPr>
          <w:p>
            <w:r>
              <w:t>Vieillesse plafonnée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/>
          </w:p>
        </w:tc>
      </w:tr>
      <w:tr>
        <w:tc>
          <w:tcPr>
            <w:tcW w:type="dxa" w:w="1502"/>
          </w:tcPr>
          <w:p>
            <w:r>
              <w:t>Agirc‑Arrco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/>
          </w:p>
        </w:tc>
      </w:tr>
      <w:tr>
        <w:tc>
          <w:tcPr>
            <w:tcW w:type="dxa" w:w="1502"/>
          </w:tcPr>
          <w:p>
            <w:r>
              <w:t>CSG/CRDS (98,25 %)</w:t>
            </w:r>
          </w:p>
        </w:tc>
        <w:tc>
          <w:tcPr>
            <w:tcW w:type="dxa" w:w="1502"/>
          </w:tcPr>
          <w:p>
            <w:r>
              <w:t>[Base CSG]</w:t>
            </w:r>
          </w:p>
        </w:tc>
        <w:tc>
          <w:tcPr>
            <w:tcW w:type="dxa" w:w="1502"/>
          </w:tcPr>
          <w:p>
            <w:r>
              <w:t>[ ]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—</w:t>
            </w:r>
          </w:p>
        </w:tc>
        <w:tc>
          <w:tcPr>
            <w:tcW w:type="dxa" w:w="1502"/>
          </w:tcPr>
          <w:p>
            <w:r>
              <w:t>—</w:t>
            </w:r>
          </w:p>
        </w:tc>
        <w:tc>
          <w:tcPr>
            <w:tcW w:type="dxa" w:w="1502"/>
          </w:tcPr>
          <w:p>
            <w:r/>
          </w:p>
        </w:tc>
      </w:tr>
      <w:tr>
        <w:tc>
          <w:tcPr>
            <w:tcW w:type="dxa" w:w="1502"/>
          </w:tcPr>
          <w:p>
            <w:r>
              <w:t>Allègement / exonération</w:t>
            </w:r>
          </w:p>
        </w:tc>
        <w:tc>
          <w:tcPr>
            <w:tcW w:type="dxa" w:w="1502"/>
          </w:tcPr>
          <w:p>
            <w:r>
              <w:t>[€]</w:t>
            </w:r>
          </w:p>
        </w:tc>
        <w:tc>
          <w:tcPr>
            <w:tcW w:type="dxa" w:w="1502"/>
          </w:tcPr>
          <w:p>
            <w:r>
              <w:t>—</w:t>
            </w:r>
          </w:p>
        </w:tc>
        <w:tc>
          <w:tcPr>
            <w:tcW w:type="dxa" w:w="1502"/>
          </w:tcPr>
          <w:p>
            <w:r>
              <w:t>[– €]</w:t>
            </w:r>
          </w:p>
        </w:tc>
        <w:tc>
          <w:tcPr>
            <w:tcW w:type="dxa" w:w="1502"/>
          </w:tcPr>
          <w:p>
            <w:r>
              <w:t>—</w:t>
            </w:r>
          </w:p>
        </w:tc>
        <w:tc>
          <w:tcPr>
            <w:tcW w:type="dxa" w:w="1502"/>
          </w:tcPr>
          <w:p>
            <w:r>
              <w:t>[– €]</w:t>
            </w:r>
          </w:p>
        </w:tc>
        <w:tc>
          <w:tcPr>
            <w:tcW w:type="dxa" w:w="1502"/>
          </w:tcPr>
          <w:p>
            <w:r>
              <w:t>Apprentis / Réduction générale (si éligible)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sz w:val="16"/>
      </w:rPr>
      <w:t>© 2025 lecoursgratuit.com — Modèles pédagogiques « Fiche de paie (France) » — Non contractuel.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