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RFC — DEMANDE DE CHANGEMENT (ITIL) v1.0</w:t>
      </w:r>
    </w:p>
    <w:p>
      <w:pPr>
        <w:jc w:val="center"/>
      </w:pPr>
      <w:r>
        <w:rPr>
          <w:sz w:val="18"/>
        </w:rPr>
        <w:t>Champs obligatoires (*) — cible : changement maîtrisé, réversible, testé, communiqué.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60"/>
        <w:gridCol w:w="9720"/>
      </w:tblGrid>
      <w:tr>
        <w:tc>
          <w:tcPr>
            <w:tcW w:type="dxa" w:w="5400"/>
            <w:shd w:val="clear" w:color="auto" w:fill="2F5597"/>
          </w:tcPr>
          <w:p/>
        </w:tc>
        <w:tc>
          <w:tcPr>
            <w:tcW w:type="dxa" w:w="5400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350"/>
              <w:gridCol w:w="1350"/>
              <w:gridCol w:w="1350"/>
              <w:gridCol w:w="1350"/>
            </w:tblGrid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ID RFC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RFC-____-____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Demandeur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</w:tr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Service/Produit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Environnement * (Prod/Préprod/Test)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</w:tr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Type * (Standard/Normal/Urgent/Émerg.)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Priorité (P1–P4)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1) Description &amp; justification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Quoi (scope / composants) : 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Pourquoi (objectif métier/technique) : ______________________________________________</w:t>
                  </w:r>
                </w:p>
                <w:p>
                  <w:r>
                    <w:rPr>
                      <w:sz w:val="20"/>
                    </w:rPr>
                    <w:t>Risques si non réalisé : ____________________________________________________________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2) Impact &amp; analyse de risque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Services/Utilisateurs impactés : ____________________________________________________</w:t>
                  </w:r>
                </w:p>
                <w:p>
                  <w:r>
                    <w:rPr>
                      <w:sz w:val="20"/>
                    </w:rPr>
                    <w:t>Fenêtre d’indisponibilité (si prévue) : ____________________________________________</w:t>
                  </w:r>
                </w:p>
                <w:p>
                  <w:r>
                    <w:rPr>
                      <w:sz w:val="20"/>
                    </w:rPr>
                    <w:t>Évaluation risque (RAG) : 🟢 Faible  🟡 Modéré  🔴 Élevé</w:t>
                  </w:r>
                </w:p>
                <w:p>
                  <w:r>
                    <w:rPr>
                      <w:sz w:val="20"/>
                    </w:rPr>
                    <w:t>Conformité/Réglementaire affecté (ex. RGPD, DORA) : 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3) Plan d’implémentation — étapes &amp; prérequis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080"/>
                    <w:gridCol w:w="1080"/>
                    <w:gridCol w:w="1080"/>
                    <w:gridCol w:w="1080"/>
                    <w:gridCol w:w="1080"/>
                  </w:tblGrid>
                  <w:tr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Étape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CMDB/Actif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Owner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Durée estimée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Risques/Points d’arrêt</w:t>
                        </w:r>
                      </w:p>
                    </w:tc>
                  </w:tr>
                  <w:tr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4) Backout / Plan de retour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Méthode de retour arrière : 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Temps max pour déclencher le backout : ________  |  Critères de déclenchement : _____</w:t>
                  </w:r>
                </w:p>
                <w:p>
                  <w:r>
                    <w:rPr>
                      <w:sz w:val="20"/>
                    </w:rPr>
                    <w:t>Données/sauvegardes nécessaires : 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5) Tests &amp; critères d’acceptation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Plan de test : _____________________________________________________________________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Critères de succès (fonctionnel/technique) : _______________________________________</w:t>
                  </w:r>
                </w:p>
                <w:p>
                  <w:r>
                    <w:rPr>
                      <w:sz w:val="20"/>
                    </w:rPr>
                    <w:t>Validation métier/technique : 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6) Planning du changement &amp; conflits calendrier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Fenêtre de changement (début/fin) : __/__/____ __:__  → __/__/____ __:__</w:t>
                  </w:r>
                </w:p>
                <w:p>
                  <w:r>
                    <w:rPr>
                      <w:sz w:val="20"/>
                    </w:rPr>
                    <w:t>Période de gel (freeze) / événements à éviter : _____________________________________</w:t>
                  </w:r>
                </w:p>
                <w:p>
                  <w:r>
                    <w:rPr>
                      <w:sz w:val="20"/>
                    </w:rPr>
                    <w:t>Conflits détectés avec autres RFC : 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7) Communication &amp; parties prenantes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350"/>
                    <w:gridCol w:w="1350"/>
                    <w:gridCol w:w="1350"/>
                    <w:gridCol w:w="1350"/>
                  </w:tblGrid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Public cible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Message clef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Canal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Timing</w:t>
                        </w:r>
                      </w:p>
                    </w:tc>
                  </w:tr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8) Approbations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350"/>
                    <w:gridCol w:w="1350"/>
                    <w:gridCol w:w="1350"/>
                    <w:gridCol w:w="1350"/>
                  </w:tblGrid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Demandeur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Manager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Change Manager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CAB</w:t>
                        </w:r>
                      </w:p>
                    </w:tc>
                  </w:tr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9) Vérification post-changement &amp; clôture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Résultats post-change (incidents/metric) : _________________________________________</w:t>
                  </w:r>
                </w:p>
                <w:p>
                  <w:r>
                    <w:rPr>
                      <w:sz w:val="20"/>
                    </w:rPr>
                    <w:t>Clôture par : ______________  Date : __/__/____  |  KPI : succès (Oui/Non), MTTR, rollback (Oui/Non)</w:t>
                  </w:r>
                </w:p>
              </w:tc>
            </w:tr>
          </w:tbl>
          <w:p/>
        </w:tc>
      </w:tr>
    </w:tbl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