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5138"/>
      </w:tblGrid>
      <w:tr>
        <w:tc>
          <w:tcPr>
            <w:tcW w:type="dxa" w:w="15138"/>
            <w:shd w:val="clear" w:color="auto" w:fill="6C5CE7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FEUILLE DE MISE EN ŒUVRE — TAKT TIME</w:t>
            </w:r>
          </w:p>
        </w:tc>
      </w:tr>
      <w:tr>
        <w:tc>
          <w:tcPr>
            <w:tcW w:type="dxa" w:w="15138"/>
            <w:shd w:val="clear" w:color="auto" w:fill="F4B400"/>
          </w:tcPr>
          <w:p>
            <w:pPr>
              <w:jc w:val="center"/>
            </w:pPr>
            <w:r>
              <w:rPr>
                <w:color w:val="1F2937"/>
                <w:sz w:val="20"/>
              </w:rPr>
              <w:t>But : aligner la cadence client et la capacité réelle. Calculer, équilibrer, prouver et pérenniser.</w:t>
            </w:r>
          </w:p>
        </w:tc>
      </w:tr>
    </w:tbl>
    <w:p/>
    <w:p>
      <w:r>
        <w:rPr>
          <w:b/>
          <w:color w:val="6C5CE7"/>
          <w:sz w:val="24"/>
        </w:rPr>
        <w:t>1) Identification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311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Produit / Famille</w:t>
            </w:r>
          </w:p>
        </w:tc>
        <w:tc>
          <w:tcPr>
            <w:tcW w:type="dxa" w:w="311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Poste / Ligne / Zone</w:t>
            </w:r>
          </w:p>
        </w:tc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Périmètre (début→fin)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Références doc (SW, CTQ, HSE)</w:t>
            </w:r>
          </w:p>
        </w:tc>
      </w:tr>
      <w:tr>
        <w:tc>
          <w:tcPr>
            <w:tcW w:type="dxa" w:w="3118"/>
            <w:vAlign w:val="center"/>
          </w:tcPr>
          <w:p>
            <w:r>
              <w:t>Ex. Famille A</w:t>
            </w:r>
          </w:p>
        </w:tc>
        <w:tc>
          <w:tcPr>
            <w:tcW w:type="dxa" w:w="3118"/>
            <w:vAlign w:val="center"/>
          </w:tcPr>
          <w:p>
            <w:r>
              <w:t>Ligne U23</w:t>
            </w:r>
          </w:p>
        </w:tc>
        <w:tc>
          <w:tcPr>
            <w:tcW w:type="dxa" w:w="4535"/>
            <w:vAlign w:val="center"/>
          </w:tcPr>
          <w:p>
            <w:r>
              <w:t>Op10 → Op60</w:t>
            </w:r>
          </w:p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3118"/>
            <w:shd w:val="clear" w:color="auto" w:fill="F3F4F6"/>
            <w:vAlign w:val="center"/>
          </w:tcPr>
          <w:p/>
        </w:tc>
        <w:tc>
          <w:tcPr>
            <w:tcW w:type="dxa" w:w="3118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2) Données d’entrée — Demande &amp; Calendrier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Demande client (période)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Horizon (jours/semaines)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Jours ouvrés</w:t>
            </w:r>
          </w:p>
        </w:tc>
        <w:tc>
          <w:tcPr>
            <w:tcW w:type="dxa" w:w="226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Shifts/Quart</w:t>
            </w:r>
          </w:p>
        </w:tc>
        <w:tc>
          <w:tcPr>
            <w:tcW w:type="dxa" w:w="255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Heures par shift</w:t>
            </w:r>
          </w:p>
        </w:tc>
        <w:tc>
          <w:tcPr>
            <w:tcW w:type="dxa" w:w="255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Absences/Indispo (%)</w:t>
            </w:r>
          </w:p>
        </w:tc>
      </w:tr>
      <w:tr>
        <w:tc>
          <w:tcPr>
            <w:tcW w:type="dxa" w:w="3402"/>
            <w:vAlign w:val="center"/>
          </w:tcPr>
          <w:p>
            <w:r>
              <w:t>Ex. 1 200 pièces/semaine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2268"/>
            <w:vAlign w:val="center"/>
          </w:tcPr>
          <w:p>
            <w:r>
              <w:t>2</w:t>
            </w:r>
          </w:p>
        </w:tc>
        <w:tc>
          <w:tcPr>
            <w:tcW w:type="dxa" w:w="2551"/>
            <w:vAlign w:val="center"/>
          </w:tcPr>
          <w:p>
            <w:r>
              <w:t>7 h 30</w:t>
            </w:r>
          </w:p>
        </w:tc>
        <w:tc>
          <w:tcPr>
            <w:tcW w:type="dxa" w:w="2551"/>
            <w:vAlign w:val="center"/>
          </w:tcPr>
          <w:p/>
        </w:tc>
      </w:tr>
      <w:tr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  <w:tc>
          <w:tcPr>
            <w:tcW w:type="dxa" w:w="2551"/>
            <w:shd w:val="clear" w:color="auto" w:fill="F3F4F6"/>
            <w:vAlign w:val="center"/>
          </w:tcPr>
          <w:p/>
        </w:tc>
        <w:tc>
          <w:tcPr>
            <w:tcW w:type="dxa" w:w="2551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3) Temps disponible (net)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3"/>
        <w:gridCol w:w="2163"/>
        <w:gridCol w:w="2163"/>
        <w:gridCol w:w="2163"/>
        <w:gridCol w:w="2163"/>
        <w:gridCol w:w="2163"/>
        <w:gridCol w:w="2163"/>
      </w:tblGrid>
      <w:tr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Plage brute/shift (min)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Pauses (min)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Réunions (min)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Chgmt série (min)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Pannes (min)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Disponibilité (%)</w:t>
            </w:r>
          </w:p>
        </w:tc>
        <w:tc>
          <w:tcPr>
            <w:tcW w:type="dxa" w:w="226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Temps net/jour (min)</w:t>
            </w:r>
          </w:p>
        </w:tc>
      </w:tr>
      <w:tr>
        <w:tc>
          <w:tcPr>
            <w:tcW w:type="dxa" w:w="1984"/>
            <w:vAlign w:val="center"/>
          </w:tcPr>
          <w:p>
            <w:r>
              <w:t>450</w:t>
            </w:r>
          </w:p>
        </w:tc>
        <w:tc>
          <w:tcPr>
            <w:tcW w:type="dxa" w:w="1701"/>
            <w:vAlign w:val="center"/>
          </w:tcPr>
          <w:p>
            <w:r>
              <w:t>30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2268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4) Calcul du takt (formule et résultat)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Temps net disponible (s)</w:t>
            </w:r>
          </w:p>
        </w:tc>
        <w:tc>
          <w:tcPr>
            <w:tcW w:type="dxa" w:w="311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Demande sur la période (pièces)</w:t>
            </w:r>
          </w:p>
        </w:tc>
        <w:tc>
          <w:tcPr>
            <w:tcW w:type="dxa" w:w="425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TAKT = Temps net / Demande</w:t>
            </w:r>
          </w:p>
        </w:tc>
        <w:tc>
          <w:tcPr>
            <w:tcW w:type="dxa" w:w="39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Pitch (temps × contenance)</w:t>
            </w:r>
          </w:p>
        </w:tc>
      </w:tr>
      <w:tr>
        <w:tc>
          <w:tcPr>
            <w:tcW w:type="dxa" w:w="2835"/>
            <w:vAlign w:val="center"/>
          </w:tcPr>
          <w:p/>
        </w:tc>
        <w:tc>
          <w:tcPr>
            <w:tcW w:type="dxa" w:w="3118"/>
            <w:vAlign w:val="center"/>
          </w:tcPr>
          <w:p/>
        </w:tc>
        <w:tc>
          <w:tcPr>
            <w:tcW w:type="dxa" w:w="4252"/>
            <w:vAlign w:val="center"/>
          </w:tcPr>
          <w:p>
            <w:r>
              <w:t>Résultat : __ s/pièce</w:t>
            </w:r>
          </w:p>
        </w:tc>
        <w:tc>
          <w:tcPr>
            <w:tcW w:type="dxa" w:w="3969"/>
            <w:vAlign w:val="center"/>
          </w:tcPr>
          <w:p>
            <w:r>
              <w:t>Pitch : __ s/lot</w:t>
            </w:r>
          </w:p>
        </w:tc>
      </w:tr>
      <w:tr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3118"/>
            <w:shd w:val="clear" w:color="auto" w:fill="F3F4F6"/>
            <w:vAlign w:val="center"/>
          </w:tcPr>
          <w:p/>
        </w:tc>
        <w:tc>
          <w:tcPr>
            <w:tcW w:type="dxa" w:w="4252"/>
            <w:shd w:val="clear" w:color="auto" w:fill="F3F4F6"/>
            <w:vAlign w:val="center"/>
          </w:tcPr>
          <w:p/>
        </w:tc>
        <w:tc>
          <w:tcPr>
            <w:tcW w:type="dxa" w:w="3969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5) Observation temps de cycle — 20 échantillons (poste goulot si connu)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56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Opération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Mesure (s)</w:t>
            </w:r>
          </w:p>
        </w:tc>
        <w:tc>
          <w:tcPr>
            <w:tcW w:type="dxa" w:w="6803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Remarque (geste parasite, attente, etc.)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2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4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6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8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9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10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11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12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13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14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15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16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17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18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19</w:t>
            </w:r>
          </w:p>
        </w:tc>
        <w:tc>
          <w:tcPr>
            <w:tcW w:type="dxa" w:w="4535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20</w:t>
            </w:r>
          </w:p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6803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6) Comparaison — Cycle vs TAKT &amp; goulots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39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Poste/Opération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Cycle moyen (s)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TAKT (s)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Écart (s)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Charge (%)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Goulot ? (Oui/Non)</w:t>
            </w:r>
          </w:p>
        </w:tc>
      </w:tr>
      <w:tr>
        <w:tc>
          <w:tcPr>
            <w:tcW w:type="dxa" w:w="3969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39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</w:tr>
      <w:tr>
        <w:tc>
          <w:tcPr>
            <w:tcW w:type="dxa" w:w="3969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39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</w:tr>
      <w:tr>
        <w:tc>
          <w:tcPr>
            <w:tcW w:type="dxa" w:w="3969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39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</w:tr>
      <w:tr>
        <w:tc>
          <w:tcPr>
            <w:tcW w:type="dxa" w:w="3969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7) Équilibrage de la ligne (Yamazumi simplifié)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Poste</w:t>
            </w:r>
          </w:p>
        </w:tc>
        <w:tc>
          <w:tcPr>
            <w:tcW w:type="dxa" w:w="5669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Éléments alloués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Charge totale (s)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Écart vs TAKT (s)</w:t>
            </w:r>
          </w:p>
        </w:tc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Idées d’équilibrage</w:t>
            </w:r>
          </w:p>
        </w:tc>
      </w:tr>
      <w:tr>
        <w:tc>
          <w:tcPr>
            <w:tcW w:type="dxa" w:w="1701"/>
            <w:vAlign w:val="center"/>
          </w:tcPr>
          <w:p/>
        </w:tc>
        <w:tc>
          <w:tcPr>
            <w:tcW w:type="dxa" w:w="5669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  <w:tr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56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</w:tr>
      <w:tr>
        <w:tc>
          <w:tcPr>
            <w:tcW w:type="dxa" w:w="1701"/>
            <w:vAlign w:val="center"/>
          </w:tcPr>
          <w:p/>
        </w:tc>
        <w:tc>
          <w:tcPr>
            <w:tcW w:type="dxa" w:w="5669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  <w:tr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56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</w:tr>
      <w:tr>
        <w:tc>
          <w:tcPr>
            <w:tcW w:type="dxa" w:w="1701"/>
            <w:vAlign w:val="center"/>
          </w:tcPr>
          <w:p/>
        </w:tc>
        <w:tc>
          <w:tcPr>
            <w:tcW w:type="dxa" w:w="5669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  <w:tr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5669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</w:tr>
      <w:tr>
        <w:tc>
          <w:tcPr>
            <w:tcW w:type="dxa" w:w="1701"/>
            <w:vAlign w:val="center"/>
          </w:tcPr>
          <w:p/>
        </w:tc>
        <w:tc>
          <w:tcPr>
            <w:tcW w:type="dxa" w:w="5669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1984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8) Lissage (Heijunka) &amp; Pitch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Mix produit (séquence type)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Pitch (temps×contenance)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Contenance unité de manutention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Supermarché (min/max)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Règles d’alerte</w:t>
            </w:r>
          </w:p>
        </w:tc>
      </w:tr>
      <w:tr>
        <w:tc>
          <w:tcPr>
            <w:tcW w:type="dxa" w:w="45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</w:tr>
      <w:tr>
        <w:tc>
          <w:tcPr>
            <w:tcW w:type="dxa" w:w="45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9) Mise en œuvre — Étapes &amp; preuves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3"/>
        <w:gridCol w:w="2163"/>
        <w:gridCol w:w="2163"/>
        <w:gridCol w:w="2163"/>
        <w:gridCol w:w="2163"/>
        <w:gridCol w:w="2163"/>
        <w:gridCol w:w="2163"/>
      </w:tblGrid>
      <w:tr>
        <w:tc>
          <w:tcPr>
            <w:tcW w:type="dxa" w:w="567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425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Étape clé</w:t>
            </w:r>
          </w:p>
        </w:tc>
        <w:tc>
          <w:tcPr>
            <w:tcW w:type="dxa" w:w="198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Owner</w:t>
            </w:r>
          </w:p>
        </w:tc>
        <w:tc>
          <w:tcPr>
            <w:tcW w:type="dxa" w:w="170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Critère de réussite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 (lien/photo)</w:t>
            </w:r>
          </w:p>
        </w:tc>
        <w:tc>
          <w:tcPr>
            <w:tcW w:type="dxa" w:w="113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Statut (☐/☑)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4252"/>
            <w:vAlign w:val="center"/>
          </w:tcPr>
          <w:p>
            <w:r>
              <w:t>Valider données d’entrée &amp; temps net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2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Calculer TAKT &amp; Pitch (formule tracée)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4252"/>
            <w:vAlign w:val="center"/>
          </w:tcPr>
          <w:p>
            <w:r>
              <w:t>Mesurer 20 cycles sur goulot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4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Comparer cycle vs TAKT ; identifier goulots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4252"/>
            <w:vAlign w:val="center"/>
          </w:tcPr>
          <w:p>
            <w:r>
              <w:t>Équilibrer (Yamazumi) ; ajuster standard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6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Mettre en place lissage (Heijunka) &amp; signaux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4252"/>
            <w:vAlign w:val="center"/>
          </w:tcPr>
          <w:p>
            <w:r>
              <w:t>Former équipe ; afficher TAKT au poste (visuel)</w:t>
            </w:r>
          </w:p>
        </w:tc>
        <w:tc>
          <w:tcPr>
            <w:tcW w:type="dxa" w:w="198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567"/>
            <w:shd w:val="clear" w:color="auto" w:fill="F3F4F6"/>
            <w:vAlign w:val="center"/>
          </w:tcPr>
          <w:p>
            <w:r>
              <w:t>8</w:t>
            </w:r>
          </w:p>
        </w:tc>
        <w:tc>
          <w:tcPr>
            <w:tcW w:type="dxa" w:w="4252"/>
            <w:shd w:val="clear" w:color="auto" w:fill="F3F4F6"/>
            <w:vAlign w:val="center"/>
          </w:tcPr>
          <w:p>
            <w:r>
              <w:t>Andon TAKT (alerte si cycle &gt; TAKT) paramétré</w:t>
            </w:r>
          </w:p>
        </w:tc>
        <w:tc>
          <w:tcPr>
            <w:tcW w:type="dxa" w:w="1984"/>
            <w:shd w:val="clear" w:color="auto" w:fill="F3F4F6"/>
            <w:vAlign w:val="center"/>
          </w:tcPr>
          <w:p/>
        </w:tc>
        <w:tc>
          <w:tcPr>
            <w:tcW w:type="dxa" w:w="1701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10) HSE &amp; Compliance — spécifiques au TAKT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Risque ergonomique (posture/rythme)</w:t>
            </w:r>
          </w:p>
        </w:tc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Parades (rotation, micro-pauses, outillage)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Preuves</w:t>
            </w:r>
          </w:p>
        </w:tc>
        <w:tc>
          <w:tcPr>
            <w:tcW w:type="dxa" w:w="1134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OK (☐/☑)</w:t>
            </w:r>
          </w:p>
        </w:tc>
      </w:tr>
      <w:tr>
        <w:tc>
          <w:tcPr>
            <w:tcW w:type="dxa" w:w="4535"/>
            <w:vAlign w:val="center"/>
          </w:tcPr>
          <w:p/>
        </w:tc>
        <w:tc>
          <w:tcPr>
            <w:tcW w:type="dxa" w:w="4535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  <w:tr>
        <w:tc>
          <w:tcPr>
            <w:tcW w:type="dxa" w:w="4535"/>
            <w:vAlign w:val="center"/>
          </w:tcPr>
          <w:p/>
        </w:tc>
        <w:tc>
          <w:tcPr>
            <w:tcW w:type="dxa" w:w="4535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1134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11) Indicateurs de suivi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255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% cycles ≤ TAKT</w:t>
            </w:r>
          </w:p>
        </w:tc>
        <w:tc>
          <w:tcPr>
            <w:tcW w:type="dxa" w:w="3118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Taux de rupture (client interne)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Écart moyen vs TAKT (s)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TRS/OEE poste goulot</w:t>
            </w:r>
          </w:p>
        </w:tc>
        <w:tc>
          <w:tcPr>
            <w:tcW w:type="dxa" w:w="2551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Âge des écarts (jours)</w:t>
            </w:r>
          </w:p>
        </w:tc>
      </w:tr>
      <w:tr>
        <w:tc>
          <w:tcPr>
            <w:tcW w:type="dxa" w:w="2551"/>
            <w:vAlign w:val="center"/>
          </w:tcPr>
          <w:p/>
        </w:tc>
        <w:tc>
          <w:tcPr>
            <w:tcW w:type="dxa" w:w="3118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551"/>
            <w:vAlign w:val="center"/>
          </w:tcPr>
          <w:p/>
        </w:tc>
      </w:tr>
      <w:tr>
        <w:tc>
          <w:tcPr>
            <w:tcW w:type="dxa" w:w="2551"/>
            <w:shd w:val="clear" w:color="auto" w:fill="F3F4F6"/>
            <w:vAlign w:val="center"/>
          </w:tcPr>
          <w:p/>
        </w:tc>
        <w:tc>
          <w:tcPr>
            <w:tcW w:type="dxa" w:w="3118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2551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12) Standardisation &amp; signatures</w:t>
      </w:r>
    </w:p>
    <w:p>
      <w:r>
        <w:rPr>
          <w:color w:val="F4B400"/>
        </w:rPr>
        <w:t>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84"/>
        <w:gridCol w:w="3784"/>
        <w:gridCol w:w="3784"/>
        <w:gridCol w:w="3784"/>
      </w:tblGrid>
      <w:tr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Standard(s) impacté(s) (réf./version)</w:t>
            </w:r>
          </w:p>
        </w:tc>
        <w:tc>
          <w:tcPr>
            <w:tcW w:type="dxa" w:w="28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Décision (publier vX.Y ?)</w:t>
            </w:r>
          </w:p>
        </w:tc>
        <w:tc>
          <w:tcPr>
            <w:tcW w:type="dxa" w:w="3402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Preuve retrait ancienne version</w:t>
            </w:r>
          </w:p>
        </w:tc>
        <w:tc>
          <w:tcPr>
            <w:tcW w:type="dxa" w:w="4535"/>
            <w:shd w:val="clear" w:color="auto" w:fill="6C5CE7"/>
            <w:vAlign w:val="center"/>
          </w:tcPr>
          <w:p>
            <w:r>
              <w:rPr>
                <w:b/>
                <w:color w:val="FFFFFF"/>
              </w:rPr>
              <w:t>Signatures (Op/Manager/Méthodes/HSE)</w:t>
            </w:r>
          </w:p>
        </w:tc>
      </w:tr>
      <w:tr>
        <w:tc>
          <w:tcPr>
            <w:tcW w:type="dxa" w:w="45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  <w:tr>
        <w:tc>
          <w:tcPr>
            <w:tcW w:type="dxa" w:w="4535"/>
            <w:shd w:val="clear" w:color="auto" w:fill="F3F4F6"/>
            <w:vAlign w:val="center"/>
          </w:tcPr>
          <w:p/>
        </w:tc>
        <w:tc>
          <w:tcPr>
            <w:tcW w:type="dxa" w:w="2835"/>
            <w:shd w:val="clear" w:color="auto" w:fill="F3F4F6"/>
            <w:vAlign w:val="center"/>
          </w:tcPr>
          <w:p/>
        </w:tc>
        <w:tc>
          <w:tcPr>
            <w:tcW w:type="dxa" w:w="3402"/>
            <w:shd w:val="clear" w:color="auto" w:fill="F3F4F6"/>
            <w:vAlign w:val="center"/>
          </w:tcPr>
          <w:p/>
        </w:tc>
        <w:tc>
          <w:tcPr>
            <w:tcW w:type="dxa" w:w="4535"/>
            <w:shd w:val="clear" w:color="auto" w:fill="F3F4F6"/>
            <w:vAlign w:val="center"/>
          </w:tcPr>
          <w:p/>
        </w:tc>
      </w:tr>
    </w:tbl>
    <w:p/>
    <w:p>
      <w:r>
        <w:rPr>
          <w:b/>
          <w:color w:val="6C5CE7"/>
          <w:sz w:val="24"/>
        </w:rPr>
        <w:t>CHECKLIST — TAKT TIME (à cocher)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7569"/>
        <w:gridCol w:w="7569"/>
      </w:tblGrid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A. Données &amp; temps net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Demande client validée (période/horizon)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Calendrier &amp; shifts renseignés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Temps net calculé (pauses/pannes déduites)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Disponibilité prise en compte (%)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B. Calcul &amp; affichage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Formule TAKT appliquée et tracée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Pitch défini (temps × contenance)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TAKT affiché au poste (visuel lisible)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C. Mesures &amp; analyse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20 cycles mesurés sur goulot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Écart cycle vs TAKT calculé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Goulots identifiés &amp; priorisés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D. Équilibrage &amp; lissage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Yamazumi réalisé &amp; charges équilibrées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Heijunka (séquence type) en place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Supermarché min/max défini</w:t>
            </w:r>
          </w:p>
        </w:tc>
      </w:tr>
      <w:tr>
        <w:tc>
          <w:tcPr>
            <w:tcW w:type="dxa" w:w="10771"/>
            <w:gridSpan w:val="2"/>
            <w:shd w:val="clear" w:color="auto" w:fill="F4B400"/>
          </w:tcPr>
          <w:p>
            <w:r>
              <w:rPr>
                <w:b/>
                <w:color w:val="FFFFFF"/>
              </w:rPr>
              <w:t>E. Mise en œuvre &amp; HSE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Standard(s) mis à jour (réf./version)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Andon TAKT paramétré (alerte)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Risque ergonomique évalué &amp; parades posées</w:t>
            </w:r>
          </w:p>
        </w:tc>
      </w:tr>
      <w:tr>
        <w:tc>
          <w:tcPr>
            <w:tcW w:type="dxa" w:w="680"/>
            <w:vAlign w:val="center"/>
          </w:tcPr>
          <w:p>
            <w:r>
              <w:rPr>
                <w:sz w:val="24"/>
              </w:rPr>
              <w:t>☐</w:t>
            </w:r>
          </w:p>
        </w:tc>
        <w:tc>
          <w:tcPr>
            <w:tcW w:type="dxa" w:w="10091"/>
          </w:tcPr>
          <w:p>
            <w:r>
              <w:t>Formation réalisée (émargement)</w:t>
            </w:r>
          </w:p>
        </w:tc>
      </w:tr>
    </w:tbl>
    <w:sectPr w:rsidR="00FC693F" w:rsidRPr="0006063C" w:rsidSect="00034616">
      <w:pgSz w:w="16838" w:h="11906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