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9CA3AF"/>
          <w:left w:val="single" w:sz="0" w:color="9CA3AF"/>
          <w:bottom w:val="single" w:sz="0" w:color="9CA3AF"/>
          <w:right w:val="single" w:sz="0" w:color="9CA3AF"/>
          <w:insideH w:val="single" w:sz="0" w:color="9CA3AF"/>
          <w:insideV w:val="single" w:sz="0" w:color="9CA3AF"/>
        </w:tblBorders>
      </w:tblPr>
      <w:tblGrid>
        <w:gridCol w:w="4933"/>
        <w:gridCol w:w="4933"/>
      </w:tblGrid>
      <w:tr>
        <w:tc>
          <w:tcPr>
            <w:tcW w:type="dxa" w:w="510"/>
            <w:shd w:fill="111827"/>
          </w:tcPr>
          <w:p/>
        </w:tc>
        <w:tc>
          <w:tcPr>
            <w:tcW w:type="dxa" w:w="4933"/>
          </w:tcPr>
          <w:p>
            <w:r>
              <w:rPr>
                <w:b/>
                <w:sz w:val="34"/>
              </w:rPr>
              <w:t>CONTRAT DE DISTRIBUTION SÉLECTIVE — MODÈLE (A4)</w:t>
            </w:r>
          </w:p>
          <w:p>
            <w:r>
              <w:rPr>
                <w:color w:val="5A5A5A"/>
                <w:sz w:val="18"/>
              </w:rPr>
              <w:t>Conception « Anthracite minimal » — réseau agréé, critères, conformité, e‑commerce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PRÉAMBULE &amp; PARTIES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4933"/>
        <w:gridCol w:w="4933"/>
      </w:tblGrid>
      <w:tr>
        <w:tc>
          <w:tcPr>
            <w:tcW w:type="dxa" w:w="4933"/>
            <w:shd w:fill="F3F4F6"/>
            <w:vAlign w:val="center"/>
          </w:tcPr>
          <w:p>
            <w:r>
              <w:t>Fournisseur / Marque</w:t>
            </w:r>
          </w:p>
        </w:tc>
        <w:tc>
          <w:tcPr>
            <w:tcW w:type="dxa" w:w="4933"/>
            <w:vAlign w:val="center"/>
          </w:tcPr>
          <w:p>
            <w:r>
              <w:t>[Dénomination légale], [forme], [RCS/ID], [adresse]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Distributeur agréé</w:t>
            </w:r>
          </w:p>
        </w:tc>
        <w:tc>
          <w:tcPr>
            <w:tcW w:type="dxa" w:w="4933"/>
            <w:vAlign w:val="center"/>
          </w:tcPr>
          <w:p>
            <w:r>
              <w:t>[Dénomination légale], [forme], [ID], [adresse]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Objet</w:t>
            </w:r>
          </w:p>
        </w:tc>
        <w:tc>
          <w:tcPr>
            <w:tcW w:type="dxa" w:w="4933"/>
            <w:vAlign w:val="center"/>
          </w:tcPr>
          <w:p>
            <w:r>
              <w:t>Mise en place d’un réseau de distribution sélective pour les Produits dans le Territoire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Date d’effet</w:t>
            </w:r>
          </w:p>
        </w:tc>
        <w:tc>
          <w:tcPr>
            <w:tcW w:type="dxa" w:w="4933"/>
            <w:vAlign w:val="center"/>
          </w:tcPr>
          <w:p>
            <w:r>
              <w:t>[JJ/MM/AAAA]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1) DÉFINITIONS</w:t>
            </w:r>
          </w:p>
        </w:tc>
      </w:tr>
    </w:tbl>
    <w:p/>
    <w:p>
      <w:r>
        <w:t>« Produits », « Territoire », « Points de vente autorisés », « Plateformes autorisées », « Standards de marque », « Critères de sélection », « Services après‑vente », « Incoterms » (Incoterms® 2020), « Législation concurrence applicable ».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2) OBJET &amp; CADRE DE CONCURRENCE</w:t>
            </w:r>
          </w:p>
        </w:tc>
      </w:tr>
    </w:tbl>
    <w:p/>
    <w:p>
      <w:r>
        <w:t>Le Fournisseur établit un réseau de distribution sélective composé de Distributeurs agréés répondant à des Critères de sélection objectifs, qualitatifs et non discriminatoires, dans le respect de la législation de la concurrence applicable.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3) TERRITOIRE &amp; PRODUITS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4933"/>
        <w:gridCol w:w="4933"/>
      </w:tblGrid>
      <w:tr>
        <w:tc>
          <w:tcPr>
            <w:tcW w:type="dxa" w:w="4933"/>
            <w:shd w:fill="F3F4F6"/>
            <w:vAlign w:val="center"/>
          </w:tcPr>
          <w:p>
            <w:r>
              <w:t>Territoire</w:t>
            </w:r>
          </w:p>
        </w:tc>
        <w:tc>
          <w:tcPr>
            <w:tcW w:type="dxa" w:w="4933"/>
            <w:vAlign w:val="center"/>
          </w:tcPr>
          <w:p>
            <w:r>
              <w:t>[Pays/Régions]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Produits couverts</w:t>
            </w:r>
          </w:p>
        </w:tc>
        <w:tc>
          <w:tcPr>
            <w:tcW w:type="dxa" w:w="4933"/>
            <w:vAlign w:val="center"/>
          </w:tcPr>
          <w:p>
            <w:r>
              <w:t>Annexe 1 — Liste &amp; références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Canaux autorisés</w:t>
            </w:r>
          </w:p>
        </w:tc>
        <w:tc>
          <w:tcPr>
            <w:tcW w:type="dxa" w:w="4933"/>
            <w:vAlign w:val="center"/>
          </w:tcPr>
          <w:p>
            <w:r>
              <w:t>[Magasins physiques / E‑commerce propre / Marketplaces (conditions)]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4) CRITÈRES DE SÉLECTION &amp; AGRÉMENT</w:t>
            </w:r>
          </w:p>
        </w:tc>
      </w:tr>
    </w:tbl>
    <w:p/>
    <w:p>
      <w:r>
        <w:t>Les critères sont objectifs, proportionnés et appliqués uniformément. L’agrément est personnel et lié au point de vente/plateforme validé(e).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3F4F6"/>
          </w:tcPr>
          <w:p>
            <w:r>
              <w:rPr>
                <w:b/>
              </w:rPr>
              <w:t>Bloc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Critère (exemples)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Preuves attendues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Seuil/standard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Conforme ?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p>
      <w:r>
        <w:t>Exemples : qualité d’aménagement, formation du personnel, stock minimum, SAV, sécurité, conformité réglementaire, expérience client, avis clients (e‑commerce).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5) VENTE EN LIGNE &amp; PLATEFORMES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4933"/>
        <w:gridCol w:w="4933"/>
      </w:tblGrid>
      <w:tr>
        <w:tc>
          <w:tcPr>
            <w:tcW w:type="dxa" w:w="4933"/>
            <w:shd w:fill="F3F4F6"/>
            <w:vAlign w:val="center"/>
          </w:tcPr>
          <w:p>
            <w:r>
              <w:t>Site propre</w:t>
            </w:r>
          </w:p>
        </w:tc>
        <w:tc>
          <w:tcPr>
            <w:tcW w:type="dxa" w:w="4933"/>
            <w:vAlign w:val="center"/>
          </w:tcPr>
          <w:p>
            <w:r>
              <w:t>Nom de domaine, ergonomie, pages marque, support client, politique retours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Marketplaces</w:t>
            </w:r>
          </w:p>
        </w:tc>
        <w:tc>
          <w:tcPr>
            <w:tcW w:type="dxa" w:w="4933"/>
            <w:vAlign w:val="center"/>
          </w:tcPr>
          <w:p>
            <w:r>
              <w:t>Autorisation préalable ; respect charte marque ; boutique dédiée ; SLA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Contenus &amp; visuels</w:t>
            </w:r>
          </w:p>
        </w:tc>
        <w:tc>
          <w:tcPr>
            <w:tcW w:type="dxa" w:w="4933"/>
            <w:vAlign w:val="center"/>
          </w:tcPr>
          <w:p>
            <w:r>
              <w:t>Guidelines Marque obligatoires ; interdiction de dénaturation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6) OBLIGATIONS DU DISTRIBUTEUR AGRÉÉ</w:t>
            </w:r>
          </w:p>
        </w:tc>
      </w:tr>
    </w:tbl>
    <w:p/>
    <w:p>
      <w:r>
        <w:t>• Respecter en continu les Critères de sélection et Standards de marque.</w:t>
      </w:r>
    </w:p>
    <w:p>
      <w:r>
        <w:t>• Assurer conseil client, SAV, disponibilité minimale et traçabilité des Produits.</w:t>
      </w:r>
    </w:p>
    <w:p>
      <w:r>
        <w:t>• Ne pas revendre à des revendeurs non agréés ; respecter le cadre légal des ventes actives/passives.</w:t>
      </w:r>
    </w:p>
    <w:p>
      <w:r>
        <w:t>• Reporting périodique (ventes, stock, incidents) — cf. art. 12.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7) OBLIGATIONS DU FOURNISSEUR</w:t>
            </w:r>
          </w:p>
        </w:tc>
      </w:tr>
    </w:tbl>
    <w:p/>
    <w:p>
      <w:r>
        <w:t>• Approvisionner, former, fournir les supports et contrôler la conformité réseau de façon non discriminatoire.</w:t>
      </w:r>
    </w:p>
    <w:p>
      <w:r>
        <w:t>• Informer des évolutions produits/réglementaires impactant les points de vente et sites.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8) INDÉPENDANCE TARIFAIRE &amp; PROMOTIONS</w:t>
            </w:r>
          </w:p>
        </w:tc>
      </w:tr>
    </w:tbl>
    <w:p/>
    <w:p>
      <w:r>
        <w:t>Les Distributeurs fixent librement leurs prix de revente. Les prix publics communiqués par le Fournisseur sont indicatifs. Les opérations promotionnelles suivent les règles publiées de la Marque.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9) CONDITIONS COMMERCIALES &amp; LIVRAISON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4933"/>
        <w:gridCol w:w="4933"/>
      </w:tblGrid>
      <w:tr>
        <w:tc>
          <w:tcPr>
            <w:tcW w:type="dxa" w:w="4933"/>
            <w:shd w:fill="F3F4F6"/>
            <w:vAlign w:val="center"/>
          </w:tcPr>
          <w:p>
            <w:r>
              <w:t>Tarifs &amp; remises</w:t>
            </w:r>
          </w:p>
        </w:tc>
        <w:tc>
          <w:tcPr>
            <w:tcW w:type="dxa" w:w="4933"/>
            <w:vAlign w:val="center"/>
          </w:tcPr>
          <w:p>
            <w:r>
              <w:t>Annexe 2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Incoterms &amp; transfert risques</w:t>
            </w:r>
          </w:p>
        </w:tc>
        <w:tc>
          <w:tcPr>
            <w:tcW w:type="dxa" w:w="4933"/>
            <w:vAlign w:val="center"/>
          </w:tcPr>
          <w:p>
            <w:r>
              <w:t>[EXW/FCA/DAP…]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Délais &amp; minimums de commande</w:t>
            </w:r>
          </w:p>
        </w:tc>
        <w:tc>
          <w:tcPr>
            <w:tcW w:type="dxa" w:w="4933"/>
            <w:vAlign w:val="center"/>
          </w:tcPr>
          <w:p>
            <w:r>
              <w:t>[X jours] / [MOQ]</w:t>
            </w:r>
          </w:p>
        </w:tc>
      </w:tr>
      <w:tr>
        <w:tc>
          <w:tcPr>
            <w:tcW w:type="dxa" w:w="4933"/>
            <w:shd w:fill="F3F4F6"/>
            <w:vAlign w:val="center"/>
          </w:tcPr>
          <w:p>
            <w:r>
              <w:t>Paiement &amp; garanties</w:t>
            </w:r>
          </w:p>
        </w:tc>
        <w:tc>
          <w:tcPr>
            <w:tcW w:type="dxa" w:w="4933"/>
            <w:vAlign w:val="center"/>
          </w:tcPr>
          <w:p>
            <w:r>
              <w:t>Net [X] jours / assurance‑crédit / garantie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10) CONFORMITÉ, AUDIT &amp; REMÉDIATION</w:t>
            </w:r>
          </w:p>
        </w:tc>
      </w:tr>
    </w:tbl>
    <w:p/>
    <w:p>
      <w:r>
        <w:t>• Audits raisonnables sur préavis ; plan de remédiation en cas d’écart ; délais de mise en conformité.</w:t>
      </w:r>
    </w:p>
    <w:p>
      <w:r>
        <w:t>• Mesures possibles : suspension des livraisons, retrait d’agrément pour non‑conformité répétée.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11) PROPRIÉTÉ INTELLECTUELLE &amp; IMAGE</w:t>
            </w:r>
          </w:p>
        </w:tc>
      </w:tr>
    </w:tbl>
    <w:p/>
    <w:p>
      <w:r>
        <w:t>Licence non exclusive des Marques pour promouvoir les Produits ; usage conforme aux Guidelines (Annexe 3). Interdiction d’usage trompeur ou dénigrant.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12) ÉTHIQUE, ANTICORRUPTION &amp; SANCTIONS</w:t>
            </w:r>
          </w:p>
        </w:tc>
      </w:tr>
    </w:tbl>
    <w:p/>
    <w:p>
      <w:r>
        <w:t>Respect des lois anticorruption, sanctions, environnement, travail. Programme de conformité côté Distributeur ; formation du personnel.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13) REPORTING &amp; INDICATEURS RÉSEAU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fill="F3F4F6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1644"/>
            <w:shd w:fill="F3F4F6"/>
          </w:tcPr>
          <w:p>
            <w:r>
              <w:rPr>
                <w:b/>
              </w:rPr>
              <w:t>CA</w:t>
            </w:r>
          </w:p>
        </w:tc>
        <w:tc>
          <w:tcPr>
            <w:tcW w:type="dxa" w:w="1644"/>
            <w:shd w:fill="F3F4F6"/>
          </w:tcPr>
          <w:p>
            <w:r>
              <w:rPr>
                <w:b/>
              </w:rPr>
              <w:t>Sell‑out</w:t>
            </w:r>
          </w:p>
        </w:tc>
        <w:tc>
          <w:tcPr>
            <w:tcW w:type="dxa" w:w="1644"/>
            <w:shd w:fill="F3F4F6"/>
          </w:tcPr>
          <w:p>
            <w:r>
              <w:rPr>
                <w:b/>
              </w:rPr>
              <w:t>Stock</w:t>
            </w:r>
          </w:p>
        </w:tc>
        <w:tc>
          <w:tcPr>
            <w:tcW w:type="dxa" w:w="1644"/>
            <w:shd w:fill="F3F4F6"/>
          </w:tcPr>
          <w:p>
            <w:r>
              <w:rPr>
                <w:b/>
              </w:rPr>
              <w:t>SAV/Incidents</w:t>
            </w:r>
          </w:p>
        </w:tc>
        <w:tc>
          <w:tcPr>
            <w:tcW w:type="dxa" w:w="1644"/>
            <w:shd w:fill="F3F4F6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14) DURÉE, SUSPENSION &amp; RETRAIT D’AGRÉMENT</w:t>
            </w:r>
          </w:p>
        </w:tc>
      </w:tr>
    </w:tbl>
    <w:p/>
    <w:p>
      <w:r>
        <w:t>Durée : [X] ans. Suspension possible en cas de manquement grave ; retrait d’agrément après échec de remédiation.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15) RÉSILIATION &amp; EFFETS</w:t>
            </w:r>
          </w:p>
        </w:tc>
      </w:tr>
    </w:tbl>
    <w:p/>
    <w:p>
      <w:r>
        <w:t>Fin de l’agrément : retrait des signes de la Marque, cessation des ventes nouvelles, liquidation des stocks selon modalités convenues, restitution des supports et données.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16) CONFIDENTIALITÉ &amp; DONNÉES</w:t>
            </w:r>
          </w:p>
        </w:tc>
      </w:tr>
    </w:tbl>
    <w:p/>
    <w:p>
      <w:r>
        <w:t>Obligation de confidentialité pendant la durée du Contrat et [X] ans après ; protection des données personnelles (RGPD ou loi locale).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17) DROIT APPLICABLE &amp; RÈGLEMENT DES LITIGES</w:t>
            </w:r>
          </w:p>
        </w:tc>
      </w:tr>
    </w:tbl>
    <w:p/>
    <w:p>
      <w:r>
        <w:t>Droit applicable : [Pays/UE]. Médiation/Arbitrage/Tribunaux compétents ; langue du contrat : [Français].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18) NOTIFICATIONS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fill="F3F4F6"/>
          </w:tcPr>
          <w:p>
            <w:r>
              <w:rPr>
                <w:b/>
              </w:rPr>
              <w:t>Partie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E‑mail officiel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À l’attention de</w:t>
            </w:r>
          </w:p>
        </w:tc>
      </w:tr>
      <w:tr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</w:tr>
      <w:tr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19) SIGNATURES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CA3AF"/>
          <w:left w:val="single" w:sz="8" w:color="9CA3AF"/>
          <w:bottom w:val="single" w:sz="8" w:color="9CA3AF"/>
          <w:right w:val="single" w:sz="8" w:color="9CA3AF"/>
          <w:insideH w:val="single" w:sz="8" w:color="9CA3AF"/>
          <w:insideV w:val="single" w:sz="8" w:color="9CA3AF"/>
        </w:tblBorders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Pour le Fournisseur</w:t>
              <w:br/>
              <w:t>Nom :</w:t>
              <w:br/>
              <w:t>Fonction :</w:t>
              <w:br/>
              <w:t>Date :</w:t>
              <w:br/>
              <w:t>Signature :</w:t>
            </w:r>
          </w:p>
        </w:tc>
        <w:tc>
          <w:tcPr>
            <w:tcW w:type="dxa" w:w="4933"/>
          </w:tcPr>
          <w:p>
            <w:r>
              <w:t>Pour le Distributeur agréé</w:t>
              <w:br/>
              <w:t>Nom :</w:t>
              <w:br/>
              <w:t>Fonction :</w:t>
              <w:br/>
              <w:t>Date :</w:t>
              <w:br/>
              <w:t>Signature :</w:t>
            </w:r>
          </w:p>
        </w:tc>
      </w:tr>
      <w:tr>
        <w:tc>
          <w:tcPr>
            <w:tcW w:type="dxa" w:w="4933"/>
          </w:tcPr>
          <w:p/>
        </w:tc>
        <w:tc>
          <w:tcPr>
            <w:tcW w:type="dxa" w:w="4933"/>
          </w:tcPr>
          <w:p/>
        </w:tc>
      </w:tr>
    </w:tbl>
    <w:p>
      <w:r>
        <w:t>Fait à [Ville], le [JJ/MM/AAAA].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283"/>
            <w:shd w:fill="374151"/>
          </w:tcPr>
          <w:p/>
        </w:tc>
        <w:tc>
          <w:tcPr>
            <w:tcW w:type="dxa" w:w="4933"/>
          </w:tcPr>
          <w:p>
            <w:r>
              <w:rPr>
                <w:b/>
                <w:sz w:val="24"/>
              </w:rPr>
              <w:t>ANNEXES</w:t>
            </w:r>
          </w:p>
        </w:tc>
      </w:tr>
    </w:tbl>
    <w:p/>
    <w:p>
      <w:r>
        <w:t>Annexe 1 — Produits &amp; références</w:t>
      </w:r>
    </w:p>
    <w:p>
      <w:r>
        <w:t>Annexe 2 — Tarifs &amp; remises</w:t>
      </w:r>
    </w:p>
    <w:p>
      <w:r>
        <w:t>Annexe 3 — Guidelines Marque (aménagement &amp; visuels)</w:t>
      </w:r>
    </w:p>
    <w:p>
      <w:r>
        <w:t>Annexe 4 — Critères &amp; preuves (checklist réseau)</w:t>
      </w:r>
    </w:p>
    <w:p>
      <w:r>
        <w:t>Annexe 5 — Conditions e‑commerce (SLA, marketplace)</w:t>
      </w:r>
    </w:p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Contrat de distribution sélective — Conception Anthracite minimal (A4, 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