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Checklist — Sourcing fournisseur (Présélection)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shd w:val="clear" w:color="auto" w:fill="DDEBF7"/>
          </w:tcPr>
          <w:p>
            <w:r>
              <w:t>Version</w:t>
            </w:r>
          </w:p>
        </w:tc>
        <w:tc>
          <w:tcPr>
            <w:tcW w:type="dxa" w:w="2466"/>
            <w:shd w:val="clear" w:color="auto" w:fill="DDEBF7"/>
          </w:tcPr>
          <w:p>
            <w:r>
              <w:t>Date</w:t>
            </w:r>
          </w:p>
        </w:tc>
        <w:tc>
          <w:tcPr>
            <w:tcW w:type="dxa" w:w="2466"/>
            <w:shd w:val="clear" w:color="auto" w:fill="DDEBF7"/>
          </w:tcPr>
          <w:p>
            <w:r>
              <w:t>Owner</w:t>
            </w:r>
          </w:p>
        </w:tc>
        <w:tc>
          <w:tcPr>
            <w:tcW w:type="dxa" w:w="2466"/>
            <w:shd w:val="clear" w:color="auto" w:fill="DDEBF7"/>
          </w:tcPr>
          <w:p>
            <w:r>
              <w:t>Périmètre</w:t>
            </w:r>
          </w:p>
        </w:tc>
      </w:tr>
      <w:tr>
        <w:tc>
          <w:tcPr>
            <w:tcW w:type="dxa" w:w="2466"/>
          </w:tcPr>
          <w:p>
            <w:r>
              <w:t>v1.0</w:t>
            </w:r>
          </w:p>
        </w:tc>
        <w:tc>
          <w:tcPr>
            <w:tcW w:type="dxa" w:w="2466"/>
          </w:tcPr>
          <w:p>
            <w:r>
              <w:t>2025-09-27</w:t>
            </w:r>
          </w:p>
        </w:tc>
        <w:tc>
          <w:tcPr>
            <w:tcW w:type="dxa" w:w="2466"/>
          </w:tcPr>
          <w:p>
            <w:r>
              <w:t>……………………</w:t>
            </w:r>
          </w:p>
        </w:tc>
        <w:tc>
          <w:tcPr>
            <w:tcW w:type="dxa" w:w="2466"/>
          </w:tcPr>
          <w:p>
            <w:r>
              <w:t>Présélection (besoin → critères → RFI/RFQ → NDA → shortlist)</w:t>
            </w:r>
          </w:p>
        </w:tc>
      </w:tr>
    </w:tbl>
    <w:p/>
    <w:p>
      <w:r>
        <w:rPr>
          <w:b/>
        </w:rPr>
        <w:t>Mode d’emploi (résumé)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AF2F8"/>
          </w:tcPr>
          <w:p/>
          <w:p>
            <w:r>
              <w:t>1) Définissez le besoin (1_Besoin : fonctionnel, volumes, délais, qualité/HSE/RSE).</w:t>
              <w:br/>
              <w:t>2) Paramétrez vos critères &amp; poids (2_Critères : KO = éliminatoire ; Poids 0–5).</w:t>
              <w:br/>
              <w:t>3) Saisissez 3–10 candidats, notez chaque critère (1–5), cochez les KO (3_Préselection).</w:t>
              <w:br/>
              <w:t>4) Collectez références &amp; risques (4_Références_Risques) et RFI/RFQ (5_RFI_RFQ).</w:t>
              <w:br/>
              <w:t>5) Suivez NDA &amp; aspects juridiques (6_NDA_Légal).</w:t>
              <w:br/>
              <w:t>6) Décidez via la synthèse &amp; le classement (7_Shortlist_Score).</w:t>
            </w:r>
          </w:p>
        </w:tc>
      </w:tr>
    </w:tbl>
    <w:p/>
    <w:p>
      <w:r>
        <w:rPr>
          <w:b/>
        </w:rPr>
        <w:t>I. Besoin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09"/>
        <w:gridCol w:w="1409"/>
        <w:gridCol w:w="1409"/>
        <w:gridCol w:w="1409"/>
        <w:gridCol w:w="1409"/>
        <w:gridCol w:w="1409"/>
        <w:gridCol w:w="1409"/>
      </w:tblGrid>
      <w:tr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Réf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Élément à définir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Détails / Notes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Statut (☐ À faire ☐ En cours ☐ Fait)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Preuves / Liens</w:t>
            </w:r>
          </w:p>
        </w:tc>
      </w:tr>
      <w:tr>
        <w:tc>
          <w:tcPr>
            <w:tcW w:type="dxa" w:w="1409"/>
          </w:tcPr>
          <w:p>
            <w:r>
              <w:t>BES-01</w:t>
            </w:r>
          </w:p>
        </w:tc>
        <w:tc>
          <w:tcPr>
            <w:tcW w:type="dxa" w:w="1409"/>
          </w:tcPr>
          <w:p>
            <w:r>
              <w:t>Description fonctionnelle &amp; performance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BES-02</w:t>
            </w:r>
          </w:p>
        </w:tc>
        <w:tc>
          <w:tcPr>
            <w:tcW w:type="dxa" w:w="1409"/>
          </w:tcPr>
          <w:p>
            <w:r>
              <w:t>Catégorie d’achat (direct/indirect)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BES-03</w:t>
            </w:r>
          </w:p>
        </w:tc>
        <w:tc>
          <w:tcPr>
            <w:tcW w:type="dxa" w:w="1409"/>
          </w:tcPr>
          <w:p>
            <w:r>
              <w:t>Volumes annuels / cadence / variabilité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BES-04</w:t>
            </w:r>
          </w:p>
        </w:tc>
        <w:tc>
          <w:tcPr>
            <w:tcW w:type="dxa" w:w="1409"/>
          </w:tcPr>
          <w:p>
            <w:r>
              <w:t>Budget cible &amp; structure de coût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BES-05</w:t>
            </w:r>
          </w:p>
        </w:tc>
        <w:tc>
          <w:tcPr>
            <w:tcW w:type="dxa" w:w="1409"/>
          </w:tcPr>
          <w:p>
            <w:r>
              <w:t>Délais requis (lead time, TTM)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BES-06</w:t>
            </w:r>
          </w:p>
        </w:tc>
        <w:tc>
          <w:tcPr>
            <w:tcW w:type="dxa" w:w="1409"/>
          </w:tcPr>
          <w:p>
            <w:r>
              <w:t>Normes &amp; qualité (ISO 9001, IATF 16949, plans de contrôle)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BES-07</w:t>
            </w:r>
          </w:p>
        </w:tc>
        <w:tc>
          <w:tcPr>
            <w:tcW w:type="dxa" w:w="1409"/>
          </w:tcPr>
          <w:p>
            <w:r>
              <w:t>HSE &amp; RSE (code, substances, empreinte)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BES-08</w:t>
            </w:r>
          </w:p>
        </w:tc>
        <w:tc>
          <w:tcPr>
            <w:tcW w:type="dxa" w:w="1409"/>
          </w:tcPr>
          <w:p>
            <w:r>
              <w:t>Localisation / zone géographique / langue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BES-09</w:t>
            </w:r>
          </w:p>
        </w:tc>
        <w:tc>
          <w:tcPr>
            <w:tcW w:type="dxa" w:w="1409"/>
          </w:tcPr>
          <w:p>
            <w:r>
              <w:t>Logistique &amp; Incoterms / emballage / traçabilité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BES-10</w:t>
            </w:r>
          </w:p>
        </w:tc>
        <w:tc>
          <w:tcPr>
            <w:tcW w:type="dxa" w:w="1409"/>
          </w:tcPr>
          <w:p>
            <w:r>
              <w:t>Contraintes contractuelles (paiement, pénalités, IP)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BES-11</w:t>
            </w:r>
          </w:p>
        </w:tc>
        <w:tc>
          <w:tcPr>
            <w:tcW w:type="dxa" w:w="1409"/>
          </w:tcPr>
          <w:p>
            <w:r>
              <w:t>Confidentialité / NDA requis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  <w:tr>
        <w:tc>
          <w:tcPr>
            <w:tcW w:type="dxa" w:w="1409"/>
          </w:tcPr>
          <w:p>
            <w:r>
              <w:t>BES-12</w:t>
            </w:r>
          </w:p>
        </w:tc>
        <w:tc>
          <w:tcPr>
            <w:tcW w:type="dxa" w:w="1409"/>
          </w:tcPr>
          <w:p>
            <w:r>
              <w:t>Risques critiques pressentis</w:t>
            </w:r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  <w:tc>
          <w:tcPr>
            <w:tcW w:type="dxa" w:w="1409"/>
          </w:tcPr>
          <w:p>
            <w:r/>
          </w:p>
        </w:tc>
      </w:tr>
    </w:tbl>
    <w:p/>
    <w:p>
      <w:r>
        <w:rPr>
          <w:b/>
        </w:rPr>
        <w:t>II. Critères de présélection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shd w:val="clear" w:color="auto" w:fill="2E75B6"/>
          </w:tcPr>
          <w:p>
            <w:r>
              <w:rPr>
                <w:b/>
                <w:color w:val="FFFFFF"/>
              </w:rPr>
              <w:t>Critère</w:t>
            </w:r>
          </w:p>
        </w:tc>
        <w:tc>
          <w:tcPr>
            <w:tcW w:type="dxa" w:w="2466"/>
            <w:shd w:val="clear" w:color="auto" w:fill="2E75B6"/>
          </w:tcPr>
          <w:p>
            <w:r>
              <w:rPr>
                <w:b/>
                <w:color w:val="FFFFFF"/>
              </w:rPr>
              <w:t>Description</w:t>
            </w:r>
          </w:p>
        </w:tc>
        <w:tc>
          <w:tcPr>
            <w:tcW w:type="dxa" w:w="2466"/>
            <w:shd w:val="clear" w:color="auto" w:fill="2E75B6"/>
          </w:tcPr>
          <w:p>
            <w:r>
              <w:rPr>
                <w:b/>
                <w:color w:val="FFFFFF"/>
              </w:rPr>
              <w:t>Poids (0–5)</w:t>
            </w:r>
          </w:p>
        </w:tc>
        <w:tc>
          <w:tcPr>
            <w:tcW w:type="dxa" w:w="2466"/>
            <w:shd w:val="clear" w:color="auto" w:fill="2E75B6"/>
          </w:tcPr>
          <w:p>
            <w:r>
              <w:rPr>
                <w:b/>
                <w:color w:val="FFFFFF"/>
              </w:rPr>
              <w:t>KO (☐ Oui ☐ Non)</w:t>
            </w:r>
          </w:p>
        </w:tc>
      </w:tr>
      <w:tr>
        <w:tc>
          <w:tcPr>
            <w:tcW w:type="dxa" w:w="2466"/>
          </w:tcPr>
          <w:p>
            <w:r>
              <w:t>Prix total (TCO)</w:t>
            </w:r>
          </w:p>
        </w:tc>
        <w:tc>
          <w:tcPr>
            <w:tcW w:type="dxa" w:w="2466"/>
          </w:tcPr>
          <w:p>
            <w:r>
              <w:t>Prix, MOQ, remises, coûts annexes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/>
          </w:p>
        </w:tc>
      </w:tr>
      <w:tr>
        <w:tc>
          <w:tcPr>
            <w:tcW w:type="dxa" w:w="2466"/>
          </w:tcPr>
          <w:p>
            <w:r>
              <w:t>Qualité &amp; certifications</w:t>
            </w:r>
          </w:p>
        </w:tc>
        <w:tc>
          <w:tcPr>
            <w:tcW w:type="dxa" w:w="2466"/>
          </w:tcPr>
          <w:p>
            <w:r>
              <w:t>ISO 9001, IATF, SPC/PPAP, ppm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/>
          </w:p>
        </w:tc>
      </w:tr>
      <w:tr>
        <w:tc>
          <w:tcPr>
            <w:tcW w:type="dxa" w:w="2466"/>
          </w:tcPr>
          <w:p>
            <w:r>
              <w:t>Capacité &amp; charge</w:t>
            </w:r>
          </w:p>
        </w:tc>
        <w:tc>
          <w:tcPr>
            <w:tcW w:type="dxa" w:w="2466"/>
          </w:tcPr>
          <w:p>
            <w:r>
              <w:t>Capacité installée, redondance, OTD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/>
          </w:p>
        </w:tc>
      </w:tr>
      <w:tr>
        <w:tc>
          <w:tcPr>
            <w:tcW w:type="dxa" w:w="2466"/>
          </w:tcPr>
          <w:p>
            <w:r>
              <w:t>Délais &amp; flexibilité</w:t>
            </w:r>
          </w:p>
        </w:tc>
        <w:tc>
          <w:tcPr>
            <w:tcW w:type="dxa" w:w="2466"/>
          </w:tcPr>
          <w:p>
            <w:r>
              <w:t>Lead time, agilité, urgences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/>
          </w:p>
        </w:tc>
      </w:tr>
      <w:tr>
        <w:tc>
          <w:tcPr>
            <w:tcW w:type="dxa" w:w="2466"/>
          </w:tcPr>
          <w:p>
            <w:r>
              <w:t>Localisation &amp; logistique</w:t>
            </w:r>
          </w:p>
        </w:tc>
        <w:tc>
          <w:tcPr>
            <w:tcW w:type="dxa" w:w="2466"/>
          </w:tcPr>
          <w:p>
            <w:r>
              <w:t>Proximité, transport, Incoterms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/>
          </w:p>
        </w:tc>
      </w:tr>
      <w:tr>
        <w:tc>
          <w:tcPr>
            <w:tcW w:type="dxa" w:w="2466"/>
          </w:tcPr>
          <w:p>
            <w:r>
              <w:t>Innovation &amp; technique</w:t>
            </w:r>
          </w:p>
        </w:tc>
        <w:tc>
          <w:tcPr>
            <w:tcW w:type="dxa" w:w="2466"/>
          </w:tcPr>
          <w:p>
            <w:r>
              <w:t>R&amp;D, co‑dev, PI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/>
          </w:p>
        </w:tc>
      </w:tr>
      <w:tr>
        <w:tc>
          <w:tcPr>
            <w:tcW w:type="dxa" w:w="2466"/>
          </w:tcPr>
          <w:p>
            <w:r>
              <w:t>Santé financière</w:t>
            </w:r>
          </w:p>
        </w:tc>
        <w:tc>
          <w:tcPr>
            <w:tcW w:type="dxa" w:w="2466"/>
          </w:tcPr>
          <w:p>
            <w:r>
              <w:t>Bilans, dépendance clients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>
              <w:t>KO? ☐ Oui ☐ Non</w:t>
            </w:r>
          </w:p>
        </w:tc>
      </w:tr>
      <w:tr>
        <w:tc>
          <w:tcPr>
            <w:tcW w:type="dxa" w:w="2466"/>
          </w:tcPr>
          <w:p>
            <w:r>
              <w:t>HSE / RSE</w:t>
            </w:r>
          </w:p>
        </w:tc>
        <w:tc>
          <w:tcPr>
            <w:tcW w:type="dxa" w:w="2466"/>
          </w:tcPr>
          <w:p>
            <w:r>
              <w:t>Conformité, éthique, énergie/CO2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>
              <w:t>KO? ☐ Oui ☐ Non</w:t>
            </w:r>
          </w:p>
        </w:tc>
      </w:tr>
      <w:tr>
        <w:tc>
          <w:tcPr>
            <w:tcW w:type="dxa" w:w="2466"/>
          </w:tcPr>
          <w:p>
            <w:r>
              <w:t>Support &amp; SAV</w:t>
            </w:r>
          </w:p>
        </w:tc>
        <w:tc>
          <w:tcPr>
            <w:tcW w:type="dxa" w:w="2466"/>
          </w:tcPr>
          <w:p>
            <w:r>
              <w:t>Service client, garantie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/>
          </w:p>
        </w:tc>
      </w:tr>
      <w:tr>
        <w:tc>
          <w:tcPr>
            <w:tcW w:type="dxa" w:w="2466"/>
          </w:tcPr>
          <w:p>
            <w:r>
              <w:t>Traçabilité &amp; data</w:t>
            </w:r>
          </w:p>
        </w:tc>
        <w:tc>
          <w:tcPr>
            <w:tcW w:type="dxa" w:w="2466"/>
          </w:tcPr>
          <w:p>
            <w:r>
              <w:t>MES/ERP, EDI, traçabilité</w:t>
            </w:r>
          </w:p>
        </w:tc>
        <w:tc>
          <w:tcPr>
            <w:tcW w:type="dxa" w:w="2466"/>
          </w:tcPr>
          <w:p>
            <w:r/>
          </w:p>
        </w:tc>
        <w:tc>
          <w:tcPr>
            <w:tcW w:type="dxa" w:w="2466"/>
          </w:tcPr>
          <w:p>
            <w:r/>
          </w:p>
        </w:tc>
      </w:tr>
    </w:tbl>
    <w:p/>
    <w:p>
      <w:r>
        <w:rPr>
          <w:b/>
        </w:rPr>
        <w:t>III. Tableau de pré‑sélection (grille de scoring)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7"/>
        <w:gridCol w:w="987"/>
        <w:gridCol w:w="987"/>
        <w:gridCol w:w="987"/>
        <w:gridCol w:w="987"/>
        <w:gridCol w:w="987"/>
        <w:gridCol w:w="987"/>
        <w:gridCol w:w="987"/>
        <w:gridCol w:w="987"/>
        <w:gridCol w:w="987"/>
      </w:tblGrid>
      <w:tr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Fournisseur</w:t>
            </w:r>
          </w:p>
        </w:tc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Pays</w:t>
            </w:r>
          </w:p>
        </w:tc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Contact</w:t>
            </w:r>
          </w:p>
        </w:tc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NDA (☐ Oui ☐ Non)</w:t>
            </w:r>
          </w:p>
        </w:tc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Score Prix (1–5)</w:t>
            </w:r>
          </w:p>
        </w:tc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Score Qualité (1–5)</w:t>
            </w:r>
          </w:p>
        </w:tc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Score Capacité (1–5)</w:t>
            </w:r>
          </w:p>
        </w:tc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Score Délais (1–5)</w:t>
            </w:r>
          </w:p>
        </w:tc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Score HSE (1–5)</w:t>
            </w:r>
          </w:p>
        </w:tc>
        <w:tc>
          <w:tcPr>
            <w:tcW w:type="dxa" w:w="987"/>
            <w:shd w:val="clear" w:color="auto" w:fill="2E75B6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</w:tr>
      <w:tr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</w:tr>
      <w:tr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</w:tr>
      <w:tr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</w:tr>
      <w:tr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</w:tr>
      <w:tr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</w:tr>
      <w:tr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</w:tr>
      <w:tr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  <w:tc>
          <w:tcPr>
            <w:tcW w:type="dxa" w:w="987"/>
          </w:tcPr>
          <w:p/>
        </w:tc>
      </w:tr>
    </w:tbl>
    <w:p/>
    <w:p>
      <w:r>
        <w:rPr>
          <w:b/>
        </w:rPr>
        <w:t>IV. Références &amp; risques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09"/>
        <w:gridCol w:w="1409"/>
        <w:gridCol w:w="1409"/>
        <w:gridCol w:w="1409"/>
        <w:gridCol w:w="1409"/>
        <w:gridCol w:w="1409"/>
        <w:gridCol w:w="1409"/>
      </w:tblGrid>
      <w:tr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Fournisseur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Client de référence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Contact/Lien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Feedback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Score fiabilité (1–5)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Risques identifiés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Plan de mitigation</w:t>
            </w:r>
          </w:p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</w:tbl>
    <w:p/>
    <w:p>
      <w:r>
        <w:rPr>
          <w:b/>
        </w:rPr>
        <w:t>V. RFI / RFQ (suivi)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22"/>
        <w:gridCol w:w="822"/>
        <w:gridCol w:w="822"/>
        <w:gridCol w:w="822"/>
        <w:gridCol w:w="822"/>
        <w:gridCol w:w="822"/>
        <w:gridCol w:w="822"/>
        <w:gridCol w:w="822"/>
        <w:gridCol w:w="822"/>
        <w:gridCol w:w="822"/>
        <w:gridCol w:w="822"/>
        <w:gridCol w:w="822"/>
      </w:tblGrid>
      <w:tr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Fournisseur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RFI envoyée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RFI reçue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Complet (☐ Oui ☐ Non)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RFQ envoyée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RFQ reçue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Validité offre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Prix unitaire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MOQ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Lead time (j)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Incoterm</w:t>
            </w:r>
          </w:p>
        </w:tc>
        <w:tc>
          <w:tcPr>
            <w:tcW w:type="dxa" w:w="822"/>
            <w:shd w:val="clear" w:color="auto" w:fill="2E75B6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</w:tr>
      <w:tr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</w:tr>
      <w:tr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</w:tr>
      <w:tr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</w:tr>
      <w:tr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</w:tr>
      <w:tr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  <w:tc>
          <w:tcPr>
            <w:tcW w:type="dxa" w:w="822"/>
          </w:tcPr>
          <w:p/>
        </w:tc>
      </w:tr>
    </w:tbl>
    <w:p/>
    <w:p>
      <w:r>
        <w:rPr>
          <w:b/>
        </w:rPr>
        <w:t>VI. NDA &amp; aspects légaux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09"/>
        <w:gridCol w:w="1409"/>
        <w:gridCol w:w="1409"/>
        <w:gridCol w:w="1409"/>
        <w:gridCol w:w="1409"/>
        <w:gridCol w:w="1409"/>
        <w:gridCol w:w="1409"/>
      </w:tblGrid>
      <w:tr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Fournisseur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NDA (Non/Envoyé/Signé)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Date signature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Durée (années)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Territorialité / Droit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Objet / Portée</w:t>
            </w:r>
          </w:p>
        </w:tc>
        <w:tc>
          <w:tcPr>
            <w:tcW w:type="dxa" w:w="1409"/>
            <w:shd w:val="clear" w:color="auto" w:fill="2E75B6"/>
          </w:tcPr>
          <w:p>
            <w:r>
              <w:rPr>
                <w:b/>
                <w:color w:val="FFFFFF"/>
              </w:rPr>
              <w:t>Liens / Pièce</w:t>
            </w:r>
          </w:p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  <w:tr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  <w:tc>
          <w:tcPr>
            <w:tcW w:type="dxa" w:w="1409"/>
          </w:tcPr>
          <w:p/>
        </w:tc>
      </w:tr>
    </w:tbl>
    <w:p/>
    <w:p>
      <w:r>
        <w:rPr>
          <w:b/>
        </w:rPr>
        <w:t>VII. Shortlist &amp; décision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val="clear" w:color="auto" w:fill="2E75B6"/>
          </w:tcPr>
          <w:p>
            <w:r>
              <w:rPr>
                <w:b/>
                <w:color w:val="FFFFFF"/>
              </w:rPr>
              <w:t>Fournisseur</w:t>
            </w:r>
          </w:p>
        </w:tc>
        <w:tc>
          <w:tcPr>
            <w:tcW w:type="dxa" w:w="1973"/>
            <w:shd w:val="clear" w:color="auto" w:fill="2E75B6"/>
          </w:tcPr>
          <w:p>
            <w:r>
              <w:rPr>
                <w:b/>
                <w:color w:val="FFFFFF"/>
              </w:rPr>
              <w:t>Score pondéré</w:t>
            </w:r>
          </w:p>
        </w:tc>
        <w:tc>
          <w:tcPr>
            <w:tcW w:type="dxa" w:w="1973"/>
            <w:shd w:val="clear" w:color="auto" w:fill="2E75B6"/>
          </w:tcPr>
          <w:p>
            <w:r>
              <w:rPr>
                <w:b/>
                <w:color w:val="FFFFFF"/>
              </w:rPr>
              <w:t>KO global (☐ Oui ☐ Non)</w:t>
            </w:r>
          </w:p>
        </w:tc>
        <w:tc>
          <w:tcPr>
            <w:tcW w:type="dxa" w:w="1973"/>
            <w:shd w:val="clear" w:color="auto" w:fill="2E75B6"/>
          </w:tcPr>
          <w:p>
            <w:r>
              <w:rPr>
                <w:b/>
                <w:color w:val="FFFFFF"/>
              </w:rPr>
              <w:t>Décision (Shortlist/Stand‑by/Écarté)</w:t>
            </w:r>
          </w:p>
        </w:tc>
        <w:tc>
          <w:tcPr>
            <w:tcW w:type="dxa" w:w="1973"/>
            <w:shd w:val="clear" w:color="auto" w:fill="2E75B6"/>
          </w:tcPr>
          <w:p>
            <w:r>
              <w:rPr>
                <w:b/>
                <w:color w:val="FFFFFF"/>
              </w:rPr>
              <w:t>Prochaines étapes / Actions</w:t>
            </w:r>
          </w:p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</w:tbl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Sourcing fournisseur (présélection) — 2025-09-27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