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56A5"/>
          <w:sz w:val="60"/>
        </w:rPr>
        <w:t>Checklist CMR — Suite &amp; Annexes Pratiques</w:t>
      </w:r>
    </w:p>
    <w:p>
      <w:pPr>
        <w:jc w:val="center"/>
      </w:pPr>
      <w:r>
        <w:rPr>
          <w:color w:val="F39C12"/>
          <w:sz w:val="24"/>
        </w:rPr>
        <w:t>Préremplissages FR→UE &amp; FR→USA • Procédures de réserves • Fiches calculs • KPIs • Modèles de clauses</w:t>
      </w:r>
    </w:p>
    <w:p>
      <w:r>
        <w:t>Cette suite complète le modèle principal par des annexes prêtes à l’emploi : procédures pas‑à‑pas, exemples de réserves, fiches de calcul, cas FR→UE et FR→USA, KPIs, et modèles de clauses utiles sous CMR. Adaptez à vos flux (secteur, ADR, froid, groupage).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95"/>
        <w:gridCol w:w="2495"/>
        <w:gridCol w:w="2495"/>
        <w:gridCol w:w="2495"/>
      </w:tblGrid>
      <w:tr>
        <w:tc>
          <w:tcPr>
            <w:tcW w:type="dxa" w:w="2495"/>
            <w:shd w:fill="D1F2EB"/>
          </w:tcPr>
          <w:p>
            <w:pPr>
              <w:jc w:val="center"/>
            </w:pPr>
            <w:r>
              <w:rPr>
                <w:b/>
              </w:rPr>
              <w:t>☑ Fait</w:t>
            </w:r>
          </w:p>
        </w:tc>
        <w:tc>
          <w:tcPr>
            <w:tcW w:type="dxa" w:w="2495"/>
            <w:shd w:fill="FDEBD0"/>
          </w:tcPr>
          <w:p>
            <w:pPr>
              <w:jc w:val="center"/>
            </w:pPr>
            <w:r>
              <w:rPr>
                <w:b/>
              </w:rPr>
              <w:t>☐ À faire</w:t>
            </w:r>
          </w:p>
        </w:tc>
        <w:tc>
          <w:tcPr>
            <w:tcW w:type="dxa" w:w="2495"/>
            <w:shd w:fill="EBDEF0"/>
          </w:tcPr>
          <w:p>
            <w:pPr>
              <w:jc w:val="center"/>
            </w:pPr>
            <w:r>
              <w:rPr>
                <w:b/>
              </w:rPr>
              <w:t>N/A Non applicable</w:t>
            </w:r>
          </w:p>
        </w:tc>
        <w:tc>
          <w:tcPr>
            <w:tcW w:type="dxa" w:w="2495"/>
            <w:shd w:fill="FADBD8"/>
          </w:tcPr>
          <w:p>
            <w:pPr>
              <w:jc w:val="center"/>
            </w:pPr>
            <w:r>
              <w:rPr>
                <w:b/>
              </w:rPr>
              <w:t>★ Critique</w:t>
            </w:r>
          </w:p>
        </w:tc>
      </w:tr>
    </w:tbl>
    <w:p/>
    <w:p>
      <w:r>
        <w:rPr>
          <w:b/>
          <w:color w:val="E74C3C"/>
          <w:sz w:val="32"/>
        </w:rPr>
        <w:t>Annexe A — Procédure de réserves (chargement &amp; livraison)</w:t>
      </w:r>
    </w:p>
    <w:p>
      <w:r>
        <w:t>Objectif : préserver vos droits en cas d’avarie, manquant ou doute de conformité.</w:t>
      </w:r>
    </w:p>
    <w:p>
      <w:r>
        <w:t>1) Constat visuel : comptez, examinez l’intégrité, contrôlez les n° de scellés.</w:t>
      </w:r>
    </w:p>
    <w:p>
      <w:r>
        <w:t>2) Rédaction immédiate de réserves précises sur la CMR (case 18) : décrire les faits (nb de colis, état, n° scellé, photos).</w:t>
      </w:r>
    </w:p>
    <w:p>
      <w:r>
        <w:t>3) Contre‑signature avec nom lisible, date/heure. Aucune réserve vague (« sous réserve de déballage ») seule ne suffit.</w:t>
      </w:r>
    </w:p>
    <w:p>
      <w:r>
        <w:t>4) En cas de dommage non apparent : confirmation écrite au transporteur dans les 7 jours calendaires.</w:t>
      </w:r>
    </w:p>
    <w:p>
      <w:r>
        <w:t>5) En cas de retard : réclamation écrite sous 21 jours calendaires.</w:t>
      </w:r>
    </w:p>
    <w:p>
      <w:r>
        <w:t>6) Constituez le dossier : CMR, photos, rapports, enregistreurs (température), expertise, factures.</w:t>
      </w:r>
    </w:p>
    <w:p>
      <w:r>
        <w:rPr>
          <w:b/>
          <w:color w:val="6C5CE7"/>
          <w:sz w:val="26"/>
        </w:rPr>
        <w:t>Exemples de réserves formulées</w:t>
      </w:r>
    </w:p>
    <w:p>
      <w:r>
        <w:t>• « Palette n°14 défilmée, 3 cartons enfoncés coin inférieur droit, traces d’humidité. Poids constaté 735 kg vs 760 kg annoncés. »</w:t>
      </w:r>
    </w:p>
    <w:p>
      <w:r>
        <w:t>• « Scellé 742389 manquant à réception. Pose d’un scellé provisoire 742401 lors du départ. »</w:t>
      </w:r>
    </w:p>
    <w:p>
      <w:r>
        <w:t>• « Température sonde n°2 : 10,2°C (&gt; 8°C) sur la plage 02:10–03:40 selon enregistreur joint. »</w:t>
      </w:r>
    </w:p>
    <w:p>
      <w:r>
        <w:t>Rappels de délai (à adapter selon contexte juridique) : 7 jours avaries non apparentes ; 21 jours retard ; prescription 1 an (3 ans en cas de dol).</w:t>
      </w:r>
    </w:p>
    <w:p>
      <w:r>
        <w:br w:type="page"/>
      </w:r>
    </w:p>
    <w:p>
      <w:r>
        <w:rPr>
          <w:b/>
          <w:color w:val="007F3B"/>
          <w:sz w:val="32"/>
        </w:rPr>
        <w:t>Annexe B — Préremplissage type : France → UE (ex. FR → ES)</w:t>
      </w:r>
    </w:p>
    <w:p>
      <w:r>
        <w:t>Contexte : expédition intracommunautaire. Pas de formalités douanières classiques, mais exigences TVA (preuve de transport) et documents commerciaux.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326"/>
        <w:gridCol w:w="3326"/>
        <w:gridCol w:w="3326"/>
      </w:tblGrid>
      <w:tr>
        <w:tc>
          <w:tcPr>
            <w:tcW w:type="dxa" w:w="3326"/>
            <w:shd w:fill="EAECEE"/>
          </w:tcPr>
          <w:p>
            <w:pPr>
              <w:jc w:val="center"/>
            </w:pPr>
            <w:r>
              <w:rPr>
                <w:b/>
              </w:rPr>
              <w:t>Rubrique</w:t>
            </w:r>
          </w:p>
        </w:tc>
        <w:tc>
          <w:tcPr>
            <w:tcW w:type="dxa" w:w="3326"/>
            <w:shd w:fill="EAECEE"/>
          </w:tcPr>
          <w:p>
            <w:pPr>
              <w:jc w:val="center"/>
            </w:pPr>
            <w:r>
              <w:rPr>
                <w:b/>
              </w:rPr>
              <w:t>Exemple FR→UE (à adapter)</w:t>
            </w:r>
          </w:p>
        </w:tc>
        <w:tc>
          <w:tcPr>
            <w:tcW w:type="dxa" w:w="3326"/>
            <w:shd w:fill="EAECEE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</w:tr>
      <w:tr>
        <w:tc>
          <w:tcPr>
            <w:tcW w:type="dxa" w:w="3326"/>
          </w:tcPr>
          <w:p>
            <w:r>
              <w:t>Incoterm + lieu</w:t>
            </w:r>
          </w:p>
        </w:tc>
        <w:tc>
          <w:tcPr>
            <w:tcW w:type="dxa" w:w="3326"/>
          </w:tcPr>
          <w:p>
            <w:r>
              <w:t>DAP Barcelona, ES (adresse complète destinataire)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Expéditeur</w:t>
            </w:r>
          </w:p>
        </w:tc>
        <w:tc>
          <w:tcPr>
            <w:tcW w:type="dxa" w:w="3326"/>
          </w:tcPr>
          <w:p>
            <w:r>
              <w:t>Société ALPHA SAS — 12 rue de l’Atlas, 69007 Lyon — FR SIREN 123 456 789 — TVA FR12 123456789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Destinataire</w:t>
            </w:r>
          </w:p>
        </w:tc>
        <w:tc>
          <w:tcPr>
            <w:tcW w:type="dxa" w:w="3326"/>
          </w:tcPr>
          <w:p>
            <w:r>
              <w:t>BETA SL — Carrer de Pau Claris 99, 08009 Barcelona — ES VAT ESB12345678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Transporteur</w:t>
            </w:r>
          </w:p>
        </w:tc>
        <w:tc>
          <w:tcPr>
            <w:tcW w:type="dxa" w:w="3326"/>
          </w:tcPr>
          <w:p>
            <w:r>
              <w:t>TRANS IBERIA SL — licence + assurance RC — contact 24/7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Marchandises</w:t>
            </w:r>
          </w:p>
        </w:tc>
        <w:tc>
          <w:tcPr>
            <w:tcW w:type="dxa" w:w="3326"/>
          </w:tcPr>
          <w:p>
            <w:r>
              <w:t>Pièces mécaniques – 24 colis – 3 600 kg brut — code SH 8483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Documents</w:t>
            </w:r>
          </w:p>
        </w:tc>
        <w:tc>
          <w:tcPr>
            <w:tcW w:type="dxa" w:w="3326"/>
          </w:tcPr>
          <w:p>
            <w:r>
              <w:t>Facture + Liste colisage ; certificat d’origine si exigé ; EMCS si produits d’accise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Preuve de transport (TVA)</w:t>
            </w:r>
          </w:p>
        </w:tc>
        <w:tc>
          <w:tcPr>
            <w:tcW w:type="dxa" w:w="3326"/>
          </w:tcPr>
          <w:p>
            <w:r>
              <w:t>POD signé + tracking + CMR ; conserver 10 ans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Palettes Europe</w:t>
            </w:r>
          </w:p>
        </w:tc>
        <w:tc>
          <w:tcPr>
            <w:tcW w:type="dxa" w:w="3326"/>
          </w:tcPr>
          <w:p>
            <w:r>
              <w:t>Échange consigné : 24 EUR‑EPAL (bon de retour)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</w:tbl>
    <w:p/>
    <w:p>
      <w:r>
        <w:rPr>
          <w:b/>
          <w:color w:val="0056A5"/>
          <w:sz w:val="26"/>
        </w:rPr>
        <w:t>Checklist express FR→UE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326"/>
        <w:gridCol w:w="3326"/>
        <w:gridCol w:w="3326"/>
      </w:tblGrid>
      <w:tr>
        <w:tc>
          <w:tcPr>
            <w:tcW w:type="dxa" w:w="3326"/>
            <w:shd w:fill="EAECEE"/>
          </w:tcPr>
          <w:p>
            <w:pPr>
              <w:jc w:val="center"/>
            </w:pPr>
            <w:r>
              <w:rPr>
                <w:b/>
              </w:rPr>
              <w:t>Point</w:t>
            </w:r>
          </w:p>
        </w:tc>
        <w:tc>
          <w:tcPr>
            <w:tcW w:type="dxa" w:w="3326"/>
            <w:shd w:fill="EAECEE"/>
          </w:tcPr>
          <w:p>
            <w:pPr>
              <w:jc w:val="center"/>
            </w:pPr>
            <w:r>
              <w:rPr>
                <w:b/>
              </w:rPr>
              <w:t>Détails</w:t>
            </w:r>
          </w:p>
        </w:tc>
        <w:tc>
          <w:tcPr>
            <w:tcW w:type="dxa" w:w="3326"/>
            <w:shd w:fill="EAECEE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</w:tr>
      <w:tr>
        <w:tc>
          <w:tcPr>
            <w:tcW w:type="dxa" w:w="3326"/>
          </w:tcPr>
          <w:p>
            <w:r>
              <w:t>EORI</w:t>
            </w:r>
          </w:p>
        </w:tc>
        <w:tc>
          <w:tcPr>
            <w:tcW w:type="dxa" w:w="3326"/>
          </w:tcPr>
          <w:p>
            <w:r>
              <w:t>Non requis pour flux strictement intra‑UE (utile si export hors UE également).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TVA intracom</w:t>
            </w:r>
          </w:p>
        </w:tc>
        <w:tc>
          <w:tcPr>
            <w:tcW w:type="dxa" w:w="3326"/>
          </w:tcPr>
          <w:p>
            <w:r>
              <w:t>Vérifier validité des numéros (VIES). Facturation HT avec preuve de sortie.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ADR / Froid</w:t>
            </w:r>
          </w:p>
        </w:tc>
        <w:tc>
          <w:tcPr>
            <w:tcW w:type="dxa" w:w="3326"/>
          </w:tcPr>
          <w:p>
            <w:r>
              <w:t>Si applicable : consignes ADR, ATP, enregistreur de température.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</w:tbl>
    <w:p/>
    <w:p>
      <w:r>
        <w:br w:type="page"/>
      </w:r>
    </w:p>
    <w:p>
      <w:r>
        <w:rPr>
          <w:b/>
          <w:color w:val="F39C12"/>
          <w:sz w:val="32"/>
        </w:rPr>
        <w:t>Annexe C — Préremplissage type : France → USA</w:t>
      </w:r>
    </w:p>
    <w:p>
      <w:r>
        <w:t>Contexte : export UE vers pays tiers. Déclaration d’export (MRN), contrôle de conformité US (FDA/USDA/FFC selon produits), courtier en douane US.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326"/>
        <w:gridCol w:w="3326"/>
        <w:gridCol w:w="3326"/>
      </w:tblGrid>
      <w:tr>
        <w:tc>
          <w:tcPr>
            <w:tcW w:type="dxa" w:w="3326"/>
            <w:shd w:fill="EAECEE"/>
          </w:tcPr>
          <w:p>
            <w:pPr>
              <w:jc w:val="center"/>
            </w:pPr>
            <w:r>
              <w:rPr>
                <w:b/>
              </w:rPr>
              <w:t>Rubrique</w:t>
            </w:r>
          </w:p>
        </w:tc>
        <w:tc>
          <w:tcPr>
            <w:tcW w:type="dxa" w:w="3326"/>
            <w:shd w:fill="EAECEE"/>
          </w:tcPr>
          <w:p>
            <w:pPr>
              <w:jc w:val="center"/>
            </w:pPr>
            <w:r>
              <w:rPr>
                <w:b/>
              </w:rPr>
              <w:t>Exemple FR→USA (à adapter)</w:t>
            </w:r>
          </w:p>
        </w:tc>
        <w:tc>
          <w:tcPr>
            <w:tcW w:type="dxa" w:w="3326"/>
            <w:shd w:fill="EAECEE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</w:tr>
      <w:tr>
        <w:tc>
          <w:tcPr>
            <w:tcW w:type="dxa" w:w="3326"/>
          </w:tcPr>
          <w:p>
            <w:r>
              <w:t>Incoterm + lieu</w:t>
            </w:r>
          </w:p>
        </w:tc>
        <w:tc>
          <w:tcPr>
            <w:tcW w:type="dxa" w:w="3326"/>
          </w:tcPr>
          <w:p>
            <w:r>
              <w:t>FCA Roissy CDG, FR (recommandé) / DAP Chicago, US (si livraison finale)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Expéditeur</w:t>
            </w:r>
          </w:p>
        </w:tc>
        <w:tc>
          <w:tcPr>
            <w:tcW w:type="dxa" w:w="3326"/>
          </w:tcPr>
          <w:p>
            <w:r>
              <w:t>Société ALPHA SAS — Lyon — EORI FR12345678900012 — TVA FR12 123456789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Importateur US</w:t>
            </w:r>
          </w:p>
        </w:tc>
        <w:tc>
          <w:tcPr>
            <w:tcW w:type="dxa" w:w="3326"/>
          </w:tcPr>
          <w:p>
            <w:r>
              <w:t>GAMMA Inc. — 200 W Adams St, Chicago, IL 60606 — EIN/IRS fournis au courtier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Transporteur / Freight forwarder</w:t>
            </w:r>
          </w:p>
        </w:tc>
        <w:tc>
          <w:tcPr>
            <w:tcW w:type="dxa" w:w="3326"/>
          </w:tcPr>
          <w:p>
            <w:r>
              <w:t>GLOBAL FREIGHT — IATA/SCAC — contact 24/7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Marchandises</w:t>
            </w:r>
          </w:p>
        </w:tc>
        <w:tc>
          <w:tcPr>
            <w:tcW w:type="dxa" w:w="3326"/>
          </w:tcPr>
          <w:p>
            <w:r>
              <w:t>Composants électroniques – 12 colis – 1 240 kg — HS 8542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Export UE</w:t>
            </w:r>
          </w:p>
        </w:tc>
        <w:tc>
          <w:tcPr>
            <w:tcW w:type="dxa" w:w="3326"/>
          </w:tcPr>
          <w:p>
            <w:r>
              <w:t>DAU export déposé — MRN généré — preuve de sortie (IE599).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Import US</w:t>
            </w:r>
          </w:p>
        </w:tc>
        <w:tc>
          <w:tcPr>
            <w:tcW w:type="dxa" w:w="3326"/>
          </w:tcPr>
          <w:p>
            <w:r>
              <w:t>Entry summary (CBP 7501) via courtier ; droits &amp; taxes ; ISF 10+2 (maritime).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Conformité produit</w:t>
            </w:r>
          </w:p>
        </w:tc>
        <w:tc>
          <w:tcPr>
            <w:tcW w:type="dxa" w:w="3326"/>
          </w:tcPr>
          <w:p>
            <w:r>
              <w:t>FDA (alimentaire/cosmétique), FCC (électronique RF), Lacey Act (bois), etc. selon le cas.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Documents</w:t>
            </w:r>
          </w:p>
        </w:tc>
        <w:tc>
          <w:tcPr>
            <w:tcW w:type="dxa" w:w="3326"/>
          </w:tcPr>
          <w:p>
            <w:r>
              <w:t>Facture commerciale (EN), packing list, COO/EUR.1 si utile, certificats spéciaux.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</w:tbl>
    <w:p/>
    <w:p>
      <w:r>
        <w:rPr>
          <w:b/>
          <w:color w:val="0056A5"/>
          <w:sz w:val="26"/>
        </w:rPr>
        <w:t>Conseils d’incoterms à l’export</w:t>
      </w:r>
    </w:p>
    <w:p>
      <w:r>
        <w:t>• Éviter EXW à l’export : difficulté de preuve de sortie et risques de non‑conformité export.</w:t>
      </w:r>
    </w:p>
    <w:p>
      <w:r>
        <w:t>• Privilégier FCA (lieu de remise au transporteur) pour maîtriser la formalité export.</w:t>
      </w:r>
    </w:p>
    <w:p>
      <w:r>
        <w:t>• Éviter DDP USA sauf maîtrise totale de l’import US (taxes, licences, représentation fiscale).</w:t>
      </w:r>
    </w:p>
    <w:p>
      <w:r>
        <w:br w:type="page"/>
      </w:r>
    </w:p>
    <w:p>
      <w:r>
        <w:rPr>
          <w:b/>
          <w:color w:val="6C5CE7"/>
          <w:sz w:val="32"/>
        </w:rPr>
        <w:t>Annexe D — Fiches de calculs clés</w:t>
      </w:r>
    </w:p>
    <w:p>
      <w:r>
        <w:rPr>
          <w:b/>
          <w:color w:val="6C5CE7"/>
          <w:sz w:val="26"/>
        </w:rPr>
        <w:t>1) Immobilisation / Temps d’attente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fill="E8DAEF"/>
          </w:tcPr>
          <w:p>
            <w:pPr>
              <w:jc w:val="center"/>
            </w:pPr>
            <w:r>
              <w:rPr>
                <w:b/>
              </w:rPr>
              <w:t>Champ</w:t>
            </w:r>
          </w:p>
        </w:tc>
        <w:tc>
          <w:tcPr>
            <w:tcW w:type="dxa" w:w="4989"/>
            <w:shd w:fill="E8DAEF"/>
          </w:tcPr>
          <w:p>
            <w:pPr>
              <w:jc w:val="center"/>
            </w:pPr>
            <w:r>
              <w:rPr>
                <w:b/>
              </w:rPr>
              <w:t>Formule / À renseigner</w:t>
            </w:r>
          </w:p>
        </w:tc>
      </w:tr>
      <w:tr>
        <w:tc>
          <w:tcPr>
            <w:tcW w:type="dxa" w:w="4989"/>
          </w:tcPr>
          <w:p>
            <w:r>
              <w:t>Paramètre</w:t>
            </w:r>
          </w:p>
        </w:tc>
        <w:tc>
          <w:tcPr>
            <w:tcW w:type="dxa" w:w="4989"/>
          </w:tcPr>
          <w:p>
            <w:r>
              <w:t>Valeur/Unité</w:t>
            </w:r>
          </w:p>
        </w:tc>
      </w:tr>
      <w:tr>
        <w:tc>
          <w:tcPr>
            <w:tcW w:type="dxa" w:w="4989"/>
          </w:tcPr>
          <w:p>
            <w:r>
              <w:t>Temps d’attente réel (h)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Franchise gratuite (h)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Taux horaire (€ / h)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Montant dû (€)</w:t>
            </w:r>
          </w:p>
        </w:tc>
        <w:tc>
          <w:tcPr>
            <w:tcW w:type="dxa" w:w="4989"/>
          </w:tcPr>
          <w:p>
            <w:r>
              <w:t>max(0 ; Attente – Franchise) × Taux</w:t>
            </w:r>
          </w:p>
        </w:tc>
      </w:tr>
    </w:tbl>
    <w:p/>
    <w:p>
      <w:r>
        <w:rPr>
          <w:b/>
          <w:color w:val="6C5CE7"/>
          <w:sz w:val="26"/>
        </w:rPr>
        <w:t>2) Surcharge carburant (Fuel surcharge)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fill="E8DAEF"/>
          </w:tcPr>
          <w:p>
            <w:pPr>
              <w:jc w:val="center"/>
            </w:pPr>
            <w:r>
              <w:rPr>
                <w:b/>
              </w:rPr>
              <w:t>Champ</w:t>
            </w:r>
          </w:p>
        </w:tc>
        <w:tc>
          <w:tcPr>
            <w:tcW w:type="dxa" w:w="4989"/>
            <w:shd w:fill="E8DAEF"/>
          </w:tcPr>
          <w:p>
            <w:pPr>
              <w:jc w:val="center"/>
            </w:pPr>
            <w:r>
              <w:rPr>
                <w:b/>
              </w:rPr>
              <w:t>Formule / Règle</w:t>
            </w:r>
          </w:p>
        </w:tc>
      </w:tr>
      <w:tr>
        <w:tc>
          <w:tcPr>
            <w:tcW w:type="dxa" w:w="4989"/>
          </w:tcPr>
          <w:p>
            <w:r>
              <w:t>Indice de référence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Indice actuel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Différence (%)</w:t>
            </w:r>
          </w:p>
        </w:tc>
        <w:tc>
          <w:tcPr>
            <w:tcW w:type="dxa" w:w="4989"/>
          </w:tcPr>
          <w:p>
            <w:r>
              <w:t>((Indice actuel − Référence) / Référence) × 100</w:t>
            </w:r>
          </w:p>
        </w:tc>
      </w:tr>
      <w:tr>
        <w:tc>
          <w:tcPr>
            <w:tcW w:type="dxa" w:w="4989"/>
          </w:tcPr>
          <w:p>
            <w:r>
              <w:t>Clé d’application</w:t>
            </w:r>
          </w:p>
        </w:tc>
        <w:tc>
          <w:tcPr>
            <w:tcW w:type="dxa" w:w="4989"/>
          </w:tcPr>
          <w:p>
            <w:r>
              <w:t>Ex. +0,5 pt de surcharge par +1 pt d’indice</w:t>
            </w:r>
          </w:p>
        </w:tc>
      </w:tr>
    </w:tbl>
    <w:p/>
    <w:p>
      <w:r>
        <w:rPr>
          <w:b/>
          <w:color w:val="6C5CE7"/>
          <w:sz w:val="26"/>
        </w:rPr>
        <w:t>3) Pénalité température (chaîne du froid)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fill="E8DAEF"/>
          </w:tcPr>
          <w:p>
            <w:pPr>
              <w:jc w:val="center"/>
            </w:pPr>
            <w:r>
              <w:rPr>
                <w:b/>
              </w:rPr>
              <w:t>Champ</w:t>
            </w:r>
          </w:p>
        </w:tc>
        <w:tc>
          <w:tcPr>
            <w:tcW w:type="dxa" w:w="4989"/>
            <w:shd w:fill="E8DAEF"/>
          </w:tcPr>
          <w:p>
            <w:pPr>
              <w:jc w:val="center"/>
            </w:pPr>
            <w:r>
              <w:rPr>
                <w:b/>
              </w:rPr>
              <w:t>Règle / À renseigner</w:t>
            </w:r>
          </w:p>
        </w:tc>
      </w:tr>
      <w:tr>
        <w:tc>
          <w:tcPr>
            <w:tcW w:type="dxa" w:w="4989"/>
          </w:tcPr>
          <w:p>
            <w:r>
              <w:t>Plage contractuelle (°C)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Déviation mesurée (°C)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Durée d’écart (min)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Règle qualité</w:t>
            </w:r>
          </w:p>
        </w:tc>
        <w:tc>
          <w:tcPr>
            <w:tcW w:type="dxa" w:w="4989"/>
          </w:tcPr>
          <w:p>
            <w:r>
              <w:t>Ex. &gt; 30 min d’écart → déclassement / alerte</w:t>
            </w:r>
          </w:p>
        </w:tc>
      </w:tr>
    </w:tbl>
    <w:p/>
    <w:p>
      <w:r>
        <w:br w:type="page"/>
      </w:r>
    </w:p>
    <w:p>
      <w:r>
        <w:rPr>
          <w:b/>
          <w:color w:val="007F3B"/>
          <w:sz w:val="32"/>
        </w:rPr>
        <w:t>Annexe E — KPIs &amp; contrôles opérationnels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326"/>
        <w:gridCol w:w="3326"/>
        <w:gridCol w:w="3326"/>
      </w:tblGrid>
      <w:tr>
        <w:tc>
          <w:tcPr>
            <w:tcW w:type="dxa" w:w="3326"/>
            <w:shd w:fill="D6EAF8"/>
          </w:tcPr>
          <w:p>
            <w:pPr>
              <w:jc w:val="center"/>
            </w:pPr>
            <w:r>
              <w:rPr>
                <w:b/>
              </w:rPr>
              <w:t>KPI</w:t>
            </w:r>
          </w:p>
        </w:tc>
        <w:tc>
          <w:tcPr>
            <w:tcW w:type="dxa" w:w="3326"/>
            <w:shd w:fill="D6EAF8"/>
          </w:tcPr>
          <w:p>
            <w:pPr>
              <w:jc w:val="center"/>
            </w:pPr>
            <w:r>
              <w:rPr>
                <w:b/>
              </w:rPr>
              <w:t>Définition</w:t>
            </w:r>
          </w:p>
        </w:tc>
        <w:tc>
          <w:tcPr>
            <w:tcW w:type="dxa" w:w="3326"/>
            <w:shd w:fill="D6EAF8"/>
          </w:tcPr>
          <w:p>
            <w:pPr>
              <w:jc w:val="center"/>
            </w:pPr>
            <w:r>
              <w:rPr>
                <w:b/>
              </w:rPr>
              <w:t>Seuil/Commentaire</w:t>
            </w:r>
          </w:p>
        </w:tc>
      </w:tr>
      <w:tr>
        <w:tc>
          <w:tcPr>
            <w:tcW w:type="dxa" w:w="3326"/>
          </w:tcPr>
          <w:p>
            <w:r>
              <w:t>OTIF</w:t>
            </w:r>
          </w:p>
        </w:tc>
        <w:tc>
          <w:tcPr>
            <w:tcW w:type="dxa" w:w="3326"/>
          </w:tcPr>
          <w:p>
            <w:r>
              <w:t>Livraisons On‑Time In‑Full / Total livraisons</w:t>
            </w:r>
          </w:p>
        </w:tc>
        <w:tc>
          <w:tcPr>
            <w:tcW w:type="dxa" w:w="3326"/>
          </w:tcPr>
          <w:p>
            <w:r>
              <w:t>Cible ≥ 95%</w:t>
            </w:r>
          </w:p>
        </w:tc>
      </w:tr>
      <w:tr>
        <w:tc>
          <w:tcPr>
            <w:tcW w:type="dxa" w:w="3326"/>
          </w:tcPr>
          <w:p>
            <w:r>
              <w:t>Taux d’avaries</w:t>
            </w:r>
          </w:p>
        </w:tc>
        <w:tc>
          <w:tcPr>
            <w:tcW w:type="dxa" w:w="3326"/>
          </w:tcPr>
          <w:p>
            <w:r>
              <w:t>Colis avariés / Colis livrés</w:t>
            </w:r>
          </w:p>
        </w:tc>
        <w:tc>
          <w:tcPr>
            <w:tcW w:type="dxa" w:w="3326"/>
          </w:tcPr>
          <w:p>
            <w:r>
              <w:t>Cible ≤ 0,5%</w:t>
            </w:r>
          </w:p>
        </w:tc>
      </w:tr>
      <w:tr>
        <w:tc>
          <w:tcPr>
            <w:tcW w:type="dxa" w:w="3326"/>
          </w:tcPr>
          <w:p>
            <w:r>
              <w:t>Fiabilité température</w:t>
            </w:r>
          </w:p>
        </w:tc>
        <w:tc>
          <w:tcPr>
            <w:tcW w:type="dxa" w:w="3326"/>
          </w:tcPr>
          <w:p>
            <w:r>
              <w:t>Livraisons sans dépassement / Livraisons sous froid</w:t>
            </w:r>
          </w:p>
        </w:tc>
        <w:tc>
          <w:tcPr>
            <w:tcW w:type="dxa" w:w="3326"/>
          </w:tcPr>
          <w:p>
            <w:r>
              <w:t>Cible ≥ 99%</w:t>
            </w:r>
          </w:p>
        </w:tc>
      </w:tr>
      <w:tr>
        <w:tc>
          <w:tcPr>
            <w:tcW w:type="dxa" w:w="3326"/>
          </w:tcPr>
          <w:p>
            <w:r>
              <w:t>Litiges par 100 expéditions</w:t>
            </w:r>
          </w:p>
        </w:tc>
        <w:tc>
          <w:tcPr>
            <w:tcW w:type="dxa" w:w="3326"/>
          </w:tcPr>
          <w:p>
            <w:r>
              <w:t>Nb litiges / 100 expéditions</w:t>
            </w:r>
          </w:p>
        </w:tc>
        <w:tc>
          <w:tcPr>
            <w:tcW w:type="dxa" w:w="3326"/>
          </w:tcPr>
          <w:p>
            <w:r>
              <w:t>Tendance ↓</w:t>
            </w:r>
          </w:p>
        </w:tc>
      </w:tr>
      <w:tr>
        <w:tc>
          <w:tcPr>
            <w:tcW w:type="dxa" w:w="3326"/>
          </w:tcPr>
          <w:p>
            <w:r>
              <w:t>Coût transport / kg</w:t>
            </w:r>
          </w:p>
        </w:tc>
        <w:tc>
          <w:tcPr>
            <w:tcW w:type="dxa" w:w="3326"/>
          </w:tcPr>
          <w:p>
            <w:r>
              <w:t>€ total transport / kg livré</w:t>
            </w:r>
          </w:p>
        </w:tc>
        <w:tc>
          <w:tcPr>
            <w:tcW w:type="dxa" w:w="3326"/>
          </w:tcPr>
          <w:p>
            <w:r>
              <w:t>Benchmark secteur</w:t>
            </w:r>
          </w:p>
        </w:tc>
      </w:tr>
    </w:tbl>
    <w:p/>
    <w:p>
      <w:r>
        <w:br w:type="page"/>
      </w:r>
    </w:p>
    <w:p>
      <w:r>
        <w:rPr>
          <w:b/>
          <w:color w:val="0056A5"/>
          <w:sz w:val="32"/>
        </w:rPr>
        <w:t>Annexe F — Modèles de clauses utiles (à intégrer au contrat / instruction)</w:t>
      </w:r>
    </w:p>
    <w:p>
      <w:r>
        <w:rPr>
          <w:b/>
          <w:color w:val="0056A5"/>
          <w:sz w:val="26"/>
        </w:rPr>
        <w:t>• Valeur déclarée (CMR art. 24)</w:t>
      </w:r>
    </w:p>
    <w:p>
      <w:r>
        <w:t>« Valeur déclarée fixée à [montant €] pour l’envoi [référence], prime additionnelle incluse, afin d’écarter la limitation CMR. »</w:t>
      </w:r>
    </w:p>
    <w:p>
      <w:r>
        <w:rPr>
          <w:b/>
          <w:color w:val="0056A5"/>
          <w:sz w:val="26"/>
        </w:rPr>
        <w:t>• Intérêt spécial à la livraison (CMR art. 26)</w:t>
      </w:r>
    </w:p>
    <w:p>
      <w:r>
        <w:t>« Intérêt spécial à la livraison déclaré à [montant €], couvrant les conséquences économiques d’un retard/avarie au‑delà de la simple valeur marchande. »</w:t>
      </w:r>
    </w:p>
    <w:p>
      <w:r>
        <w:rPr>
          <w:b/>
          <w:color w:val="0056A5"/>
          <w:sz w:val="26"/>
        </w:rPr>
        <w:t>• Consignes température</w:t>
      </w:r>
    </w:p>
    <w:p>
      <w:r>
        <w:t>« Température de consigne : [x]°C. Enregistreur obligatoire. Rapport de température à joindre au POD. »</w:t>
      </w:r>
    </w:p>
    <w:p>
      <w:r>
        <w:rPr>
          <w:b/>
          <w:color w:val="0056A5"/>
          <w:sz w:val="26"/>
        </w:rPr>
        <w:t>• ADR — chargement/arrimage</w:t>
      </w:r>
    </w:p>
    <w:p>
      <w:r>
        <w:t>« L’expéditeur fournit FDS et marquage/étiquetage ADR conformes. Arrimage selon plan joint. »</w:t>
      </w:r>
    </w:p>
    <w:p>
      <w:r>
        <w:br w:type="page"/>
      </w:r>
    </w:p>
    <w:p>
      <w:r>
        <w:rPr>
          <w:b/>
          <w:color w:val="F39C12"/>
          <w:sz w:val="32"/>
        </w:rPr>
        <w:t>Annexe G — Checklists spécifiques</w:t>
      </w:r>
    </w:p>
    <w:p>
      <w:r>
        <w:rPr>
          <w:b/>
          <w:color w:val="E74C3C"/>
          <w:sz w:val="26"/>
        </w:rPr>
        <w:t>G1) ADR — marchandises dangereuses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326"/>
        <w:gridCol w:w="3326"/>
        <w:gridCol w:w="3326"/>
      </w:tblGrid>
      <w:tr>
        <w:tc>
          <w:tcPr>
            <w:tcW w:type="dxa" w:w="3326"/>
            <w:shd w:fill="FADBD8"/>
          </w:tcPr>
          <w:p>
            <w:pPr>
              <w:jc w:val="center"/>
            </w:pPr>
            <w:r>
              <w:rPr>
                <w:b/>
              </w:rPr>
              <w:t>Point</w:t>
            </w:r>
          </w:p>
        </w:tc>
        <w:tc>
          <w:tcPr>
            <w:tcW w:type="dxa" w:w="3326"/>
            <w:shd w:fill="FADBD8"/>
          </w:tcPr>
          <w:p>
            <w:pPr>
              <w:jc w:val="center"/>
            </w:pPr>
            <w:r>
              <w:rPr>
                <w:b/>
              </w:rPr>
              <w:t>Détails</w:t>
            </w:r>
          </w:p>
        </w:tc>
        <w:tc>
          <w:tcPr>
            <w:tcW w:type="dxa" w:w="3326"/>
            <w:shd w:fill="FADBD8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</w:tr>
      <w:tr>
        <w:tc>
          <w:tcPr>
            <w:tcW w:type="dxa" w:w="3326"/>
          </w:tcPr>
          <w:p>
            <w:r>
              <w:t>FDS &amp; n° ONU</w:t>
            </w:r>
          </w:p>
        </w:tc>
        <w:tc>
          <w:tcPr>
            <w:tcW w:type="dxa" w:w="3326"/>
          </w:tcPr>
          <w:p>
            <w:r>
              <w:t>Fiches à jour, classe, groupe d’emballage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Marquage/étiquetage</w:t>
            </w:r>
          </w:p>
        </w:tc>
        <w:tc>
          <w:tcPr>
            <w:tcW w:type="dxa" w:w="3326"/>
          </w:tcPr>
          <w:p>
            <w:r>
              <w:t>Colis &amp; véhicule conformes ADR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Formation chauffeur ADR</w:t>
            </w:r>
          </w:p>
        </w:tc>
        <w:tc>
          <w:tcPr>
            <w:tcW w:type="dxa" w:w="3326"/>
          </w:tcPr>
          <w:p>
            <w:r>
              <w:t>Certificat valide + équipements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Document de transport ADR</w:t>
            </w:r>
          </w:p>
        </w:tc>
        <w:tc>
          <w:tcPr>
            <w:tcW w:type="dxa" w:w="3326"/>
          </w:tcPr>
          <w:p>
            <w:r>
              <w:t>Mentions réglementaires complètes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</w:tbl>
    <w:p/>
    <w:p>
      <w:r>
        <w:rPr>
          <w:b/>
          <w:color w:val="007F3B"/>
          <w:sz w:val="26"/>
        </w:rPr>
        <w:t>G2) Température dirigée (frais/surgelé/pharma)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326"/>
        <w:gridCol w:w="3326"/>
        <w:gridCol w:w="3326"/>
      </w:tblGrid>
      <w:tr>
        <w:tc>
          <w:tcPr>
            <w:tcW w:type="dxa" w:w="3326"/>
            <w:shd w:fill="D4EFDF"/>
          </w:tcPr>
          <w:p>
            <w:pPr>
              <w:jc w:val="center"/>
            </w:pPr>
            <w:r>
              <w:rPr>
                <w:b/>
              </w:rPr>
              <w:t>Point</w:t>
            </w:r>
          </w:p>
        </w:tc>
        <w:tc>
          <w:tcPr>
            <w:tcW w:type="dxa" w:w="3326"/>
            <w:shd w:fill="D4EFDF"/>
          </w:tcPr>
          <w:p>
            <w:pPr>
              <w:jc w:val="center"/>
            </w:pPr>
            <w:r>
              <w:rPr>
                <w:b/>
              </w:rPr>
              <w:t>Détails</w:t>
            </w:r>
          </w:p>
        </w:tc>
        <w:tc>
          <w:tcPr>
            <w:tcW w:type="dxa" w:w="3326"/>
            <w:shd w:fill="D4EFDF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</w:tr>
      <w:tr>
        <w:tc>
          <w:tcPr>
            <w:tcW w:type="dxa" w:w="3326"/>
          </w:tcPr>
          <w:p>
            <w:r>
              <w:t>ATP/FRC</w:t>
            </w:r>
          </w:p>
        </w:tc>
        <w:tc>
          <w:tcPr>
            <w:tcW w:type="dxa" w:w="3326"/>
          </w:tcPr>
          <w:p>
            <w:r>
              <w:t>Validité du certificat véhicule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Consigne &amp; sondes</w:t>
            </w:r>
          </w:p>
        </w:tc>
        <w:tc>
          <w:tcPr>
            <w:tcW w:type="dxa" w:w="3326"/>
          </w:tcPr>
          <w:p>
            <w:r>
              <w:t>Consigne [x]°C ; sondes calibrées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Enregistreur</w:t>
            </w:r>
          </w:p>
        </w:tc>
        <w:tc>
          <w:tcPr>
            <w:tcW w:type="dxa" w:w="3326"/>
          </w:tcPr>
          <w:p>
            <w:r>
              <w:t>Export du graphe joint au POD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Plan de repli</w:t>
            </w:r>
          </w:p>
        </w:tc>
        <w:tc>
          <w:tcPr>
            <w:tcW w:type="dxa" w:w="3326"/>
          </w:tcPr>
          <w:p>
            <w:r>
              <w:t>Procédure en cas de panne du groupe froid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</w:tbl>
    <w:p/>
    <w:p>
      <w:r>
        <w:rPr>
          <w:b/>
          <w:color w:val="6C5CE7"/>
          <w:sz w:val="26"/>
        </w:rPr>
        <w:t>G3) Groupage / Multistop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326"/>
        <w:gridCol w:w="3326"/>
        <w:gridCol w:w="3326"/>
      </w:tblGrid>
      <w:tr>
        <w:tc>
          <w:tcPr>
            <w:tcW w:type="dxa" w:w="3326"/>
            <w:shd w:fill="EBDEF0"/>
          </w:tcPr>
          <w:p>
            <w:pPr>
              <w:jc w:val="center"/>
            </w:pPr>
            <w:r>
              <w:rPr>
                <w:b/>
              </w:rPr>
              <w:t>Point</w:t>
            </w:r>
          </w:p>
        </w:tc>
        <w:tc>
          <w:tcPr>
            <w:tcW w:type="dxa" w:w="3326"/>
            <w:shd w:fill="EBDEF0"/>
          </w:tcPr>
          <w:p>
            <w:pPr>
              <w:jc w:val="center"/>
            </w:pPr>
            <w:r>
              <w:rPr>
                <w:b/>
              </w:rPr>
              <w:t>Détails</w:t>
            </w:r>
          </w:p>
        </w:tc>
        <w:tc>
          <w:tcPr>
            <w:tcW w:type="dxa" w:w="3326"/>
            <w:shd w:fill="EBDEF0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</w:tr>
      <w:tr>
        <w:tc>
          <w:tcPr>
            <w:tcW w:type="dxa" w:w="3326"/>
          </w:tcPr>
          <w:p>
            <w:r>
              <w:t>Séquence de tournée</w:t>
            </w:r>
          </w:p>
        </w:tc>
        <w:tc>
          <w:tcPr>
            <w:tcW w:type="dxa" w:w="3326"/>
          </w:tcPr>
          <w:p>
            <w:r>
              <w:t>Ordre optimisé + fenêtres horaires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Étiquetage colis</w:t>
            </w:r>
          </w:p>
        </w:tc>
        <w:tc>
          <w:tcPr>
            <w:tcW w:type="dxa" w:w="3326"/>
          </w:tcPr>
          <w:p>
            <w:r>
              <w:t>Code‑barres/ID par client/destinataire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  <w:tr>
        <w:tc>
          <w:tcPr>
            <w:tcW w:type="dxa" w:w="3326"/>
          </w:tcPr>
          <w:p>
            <w:r>
              <w:t>Réserves par stop</w:t>
            </w:r>
          </w:p>
        </w:tc>
        <w:tc>
          <w:tcPr>
            <w:tcW w:type="dxa" w:w="3326"/>
          </w:tcPr>
          <w:p>
            <w:r>
              <w:t>CMR/POD distincts et réserves séparées</w:t>
            </w:r>
          </w:p>
        </w:tc>
        <w:tc>
          <w:tcPr>
            <w:tcW w:type="dxa" w:w="3326"/>
          </w:tcPr>
          <w:p>
            <w:r>
              <w:t>☐</w:t>
            </w:r>
          </w:p>
        </w:tc>
      </w:tr>
    </w:tbl>
    <w:p/>
    <w:p>
      <w:r>
        <w:br w:type="page"/>
      </w:r>
    </w:p>
    <w:p>
      <w:r>
        <w:rPr>
          <w:b/>
          <w:color w:val="0056A5"/>
          <w:sz w:val="32"/>
        </w:rPr>
        <w:t>Annexe H — Archivage &amp; nomenclature documentaire</w:t>
      </w:r>
    </w:p>
    <w:p>
      <w:r>
        <w:t>Recommandation : conserver 10 ans les CMR, POD, factures, certificats et rapports qualité.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fill="EAECEE"/>
          </w:tcPr>
          <w:p>
            <w:pPr>
              <w:jc w:val="center"/>
            </w:pPr>
            <w:r>
              <w:rPr>
                <w:b/>
              </w:rPr>
              <w:t>Élément</w:t>
            </w:r>
          </w:p>
        </w:tc>
        <w:tc>
          <w:tcPr>
            <w:tcW w:type="dxa" w:w="4989"/>
            <w:shd w:fill="EAECEE"/>
          </w:tcPr>
          <w:p>
            <w:pPr>
              <w:jc w:val="center"/>
            </w:pPr>
            <w:r>
              <w:rPr>
                <w:b/>
              </w:rPr>
              <w:t>Exemple/Description</w:t>
            </w:r>
          </w:p>
        </w:tc>
      </w:tr>
      <w:tr>
        <w:tc>
          <w:tcPr>
            <w:tcW w:type="dxa" w:w="4989"/>
          </w:tcPr>
          <w:p>
            <w:r>
              <w:t>Arborescence GED</w:t>
            </w:r>
          </w:p>
        </w:tc>
        <w:tc>
          <w:tcPr>
            <w:tcW w:type="dxa" w:w="4989"/>
          </w:tcPr>
          <w:p>
            <w:r>
              <w:t>Transport/Année/Mois/Client/CMR_[n°]</w:t>
            </w:r>
          </w:p>
        </w:tc>
      </w:tr>
      <w:tr>
        <w:tc>
          <w:tcPr>
            <w:tcW w:type="dxa" w:w="4989"/>
          </w:tcPr>
          <w:p>
            <w:r>
              <w:t>Convention de nommage</w:t>
            </w:r>
          </w:p>
        </w:tc>
        <w:tc>
          <w:tcPr>
            <w:tcW w:type="dxa" w:w="4989"/>
          </w:tcPr>
          <w:p>
            <w:r>
              <w:t>YYYYMMDD_Client_RefCommande_IncotermLieu_Mode.doc/pdf</w:t>
            </w:r>
          </w:p>
        </w:tc>
      </w:tr>
      <w:tr>
        <w:tc>
          <w:tcPr>
            <w:tcW w:type="dxa" w:w="4989"/>
          </w:tcPr>
          <w:p>
            <w:r>
              <w:t>Preuves</w:t>
            </w:r>
          </w:p>
        </w:tc>
        <w:tc>
          <w:tcPr>
            <w:tcW w:type="dxa" w:w="4989"/>
          </w:tcPr>
          <w:p>
            <w:r>
              <w:t>CMR signée, photos scellés, graphe température, IE599/MRN, etc.</w:t>
            </w:r>
          </w:p>
        </w:tc>
      </w:tr>
    </w:tbl>
    <w:p/>
    <w:p>
      <w:r>
        <w:br w:type="page"/>
      </w:r>
    </w:p>
    <w:p>
      <w:r>
        <w:rPr>
          <w:b/>
          <w:color w:val="E74C3C"/>
          <w:sz w:val="32"/>
        </w:rPr>
        <w:t>Fiche imprimable — Réserves à la livraison (A4)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fill="FADBD8"/>
          </w:tcPr>
          <w:p>
            <w:pPr>
              <w:jc w:val="center"/>
            </w:pPr>
            <w:r>
              <w:rPr>
                <w:b/>
              </w:rPr>
              <w:t>Champ</w:t>
            </w:r>
          </w:p>
        </w:tc>
        <w:tc>
          <w:tcPr>
            <w:tcW w:type="dxa" w:w="4989"/>
            <w:shd w:fill="FADBD8"/>
          </w:tcPr>
          <w:p>
            <w:pPr>
              <w:jc w:val="center"/>
            </w:pPr>
            <w:r>
              <w:rPr>
                <w:b/>
              </w:rPr>
              <w:t>À renseigner</w:t>
            </w:r>
          </w:p>
        </w:tc>
      </w:tr>
      <w:tr>
        <w:tc>
          <w:tcPr>
            <w:tcW w:type="dxa" w:w="4989"/>
          </w:tcPr>
          <w:p>
            <w:r>
              <w:t>Date/Heure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Site/Quai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CMR n°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Destinataire (nom lisible + cachet)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Transporteur/Chauffeur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Anomalies constatées (précises)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Photos (IDs)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Signature &amp; cachet</w:t>
            </w:r>
          </w:p>
        </w:tc>
        <w:tc>
          <w:tcPr>
            <w:tcW w:type="dxa" w:w="4989"/>
          </w:tcPr>
          <w:p>
            <w:r/>
          </w:p>
        </w:tc>
      </w:tr>
    </w:tbl>
    <w:p/>
    <w:p>
      <w:r>
        <w:br w:type="page"/>
      </w:r>
    </w:p>
    <w:p>
      <w:r>
        <w:rPr>
          <w:b/>
          <w:color w:val="6C5CE7"/>
          <w:sz w:val="32"/>
        </w:rPr>
        <w:t>Fiche imprimable — Déclaration de sinistre express (A4)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fill="E8DAEF"/>
          </w:tcPr>
          <w:p>
            <w:pPr>
              <w:jc w:val="center"/>
            </w:pPr>
            <w:r>
              <w:rPr>
                <w:b/>
              </w:rPr>
              <w:t>Champ</w:t>
            </w:r>
          </w:p>
        </w:tc>
        <w:tc>
          <w:tcPr>
            <w:tcW w:type="dxa" w:w="4989"/>
            <w:shd w:fill="E8DAEF"/>
          </w:tcPr>
          <w:p>
            <w:pPr>
              <w:jc w:val="center"/>
            </w:pPr>
            <w:r>
              <w:rPr>
                <w:b/>
              </w:rPr>
              <w:t>À renseigner</w:t>
            </w:r>
          </w:p>
        </w:tc>
      </w:tr>
      <w:tr>
        <w:tc>
          <w:tcPr>
            <w:tcW w:type="dxa" w:w="4989"/>
          </w:tcPr>
          <w:p>
            <w:r>
              <w:t>Référence dossier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Expéditeur / Destinataire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Transporteur / Trajet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Nature du sinistre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Estimation des dommages (€)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Réserves (CMR case 18)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>
              <w:t>Pièces jointes</w:t>
            </w:r>
          </w:p>
        </w:tc>
        <w:tc>
          <w:tcPr>
            <w:tcW w:type="dxa" w:w="4989"/>
          </w:tcPr>
          <w:p>
            <w:r>
              <w:t>CMR, photos, rapport, graphe température, facture</w:t>
            </w:r>
          </w:p>
        </w:tc>
      </w:tr>
    </w:tbl>
    <w:p/>
    <w:sectPr w:rsidR="00FC693F" w:rsidRPr="0006063C" w:rsidSect="00034616">
      <w:footerReference w:type="default" r:id="rId9"/>
      <w:pgSz w:w="11906" w:h="16838"/>
      <w:pgMar w:top="1020" w:right="907" w:bottom="90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color w:val="808080"/>
        <w:sz w:val="16"/>
      </w:rPr>
      <w:t>Checklist CMR — Suite &amp; Annexes — v1.0 — © 2025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