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Annexe — Procédure eBL (connaissement électronique)</w:t>
      </w:r>
    </w:p>
    <w:p>
      <w:r>
        <w:rPr>
          <w:b/>
        </w:rPr>
        <w:t>Incoterms® 2020 — Maritime / multimodal — eBL &amp; plan B papier</w:t>
      </w:r>
    </w:p>
    <w:p>
      <w:pPr>
        <w:pStyle w:val="Callout"/>
        <w:spacing w:before="80" w:after="80"/>
        <w:shd w:val="clear" w:color="auto" w:fill="FFF2CC"/>
      </w:pPr>
      <w:r>
        <w:t>⚠ Avertissement : ce modèle est un support opérationnel. Vérifiez la compatibilité avec votre banque (L/C), l’armateur et la législation locale. Précisez l’impact des Incoterms® 2020 choisis sur l’allocation des risques (ex. FCA, CIF/CIP).</w:t>
      </w:r>
    </w:p>
    <w:p>
      <w:pPr>
        <w:pStyle w:val="Heading1"/>
      </w:pPr>
      <w:r>
        <w:t>0. Variables du dossier (à compléter)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Variable</w:t>
            </w:r>
          </w:p>
        </w:tc>
        <w:tc>
          <w:tcPr>
            <w:tcW w:type="dxa" w:w="4320"/>
          </w:tcPr>
          <w:p>
            <w:r>
              <w:t>À renseigner</w:t>
            </w:r>
          </w:p>
        </w:tc>
      </w:tr>
      <w:tr>
        <w:tc>
          <w:tcPr>
            <w:tcW w:type="dxa" w:w="4320"/>
          </w:tcPr>
          <w:p>
            <w:r>
              <w:t>[PLATEFORME_EBL]</w:t>
            </w:r>
          </w:p>
        </w:tc>
        <w:tc>
          <w:tcPr>
            <w:tcW w:type="dxa" w:w="4320"/>
          </w:tcPr>
          <w:p>
            <w:r>
              <w:t>Plateforme choisie (ex. WAVE BL, Bolero, essDOCS, CargoX...)</w:t>
            </w:r>
          </w:p>
        </w:tc>
      </w:tr>
      <w:tr>
        <w:tc>
          <w:tcPr>
            <w:tcW w:type="dxa" w:w="4320"/>
          </w:tcPr>
          <w:p>
            <w:r>
              <w:t>[ARMATEUR]</w:t>
            </w:r>
          </w:p>
        </w:tc>
        <w:tc>
          <w:tcPr>
            <w:tcW w:type="dxa" w:w="4320"/>
          </w:tcPr>
          <w:p>
            <w:r>
              <w:t>Compagnie maritime / NVOCC</w:t>
            </w:r>
          </w:p>
        </w:tc>
      </w:tr>
      <w:tr>
        <w:tc>
          <w:tcPr>
            <w:tcW w:type="dxa" w:w="4320"/>
          </w:tcPr>
          <w:p>
            <w:r>
              <w:t>[BANQUE_LC]</w:t>
            </w:r>
          </w:p>
        </w:tc>
        <w:tc>
          <w:tcPr>
            <w:tcW w:type="dxa" w:w="4320"/>
          </w:tcPr>
          <w:p>
            <w:r>
              <w:t>Banque émettrice / confirmatrice (si L/C)</w:t>
            </w:r>
          </w:p>
        </w:tc>
      </w:tr>
      <w:tr>
        <w:tc>
          <w:tcPr>
            <w:tcW w:type="dxa" w:w="4320"/>
          </w:tcPr>
          <w:p>
            <w:r>
              <w:t>[VENDEUR_ADMIN]</w:t>
            </w:r>
          </w:p>
        </w:tc>
        <w:tc>
          <w:tcPr>
            <w:tcW w:type="dxa" w:w="4320"/>
          </w:tcPr>
          <w:p>
            <w:r>
              <w:t>Contact export/admin vendeur (email/tel)</w:t>
            </w:r>
          </w:p>
        </w:tc>
      </w:tr>
      <w:tr>
        <w:tc>
          <w:tcPr>
            <w:tcW w:type="dxa" w:w="4320"/>
          </w:tcPr>
          <w:p>
            <w:r>
              <w:t>[ACHETEUR_ADMIN]</w:t>
            </w:r>
          </w:p>
        </w:tc>
        <w:tc>
          <w:tcPr>
            <w:tcW w:type="dxa" w:w="4320"/>
          </w:tcPr>
          <w:p>
            <w:r>
              <w:t>Contact documentaire acheteur</w:t>
            </w:r>
          </w:p>
        </w:tc>
      </w:tr>
      <w:tr>
        <w:tc>
          <w:tcPr>
            <w:tcW w:type="dxa" w:w="4320"/>
          </w:tcPr>
          <w:p>
            <w:r>
              <w:t>[ACCES_VENDEUR]</w:t>
            </w:r>
          </w:p>
        </w:tc>
        <w:tc>
          <w:tcPr>
            <w:tcW w:type="dxa" w:w="4320"/>
          </w:tcPr>
          <w:p>
            <w:r>
              <w:t>Rôles et droits du vendeur (créer, endosser, transférer, release)</w:t>
            </w:r>
          </w:p>
        </w:tc>
      </w:tr>
      <w:tr>
        <w:tc>
          <w:tcPr>
            <w:tcW w:type="dxa" w:w="4320"/>
          </w:tcPr>
          <w:p>
            <w:r>
              <w:t>[ACCES_ACHETEUR]</w:t>
            </w:r>
          </w:p>
        </w:tc>
        <w:tc>
          <w:tcPr>
            <w:tcW w:type="dxa" w:w="4320"/>
          </w:tcPr>
          <w:p>
            <w:r>
              <w:t>Rôles et droits de l’acheteur</w:t>
            </w:r>
          </w:p>
        </w:tc>
      </w:tr>
      <w:tr>
        <w:tc>
          <w:tcPr>
            <w:tcW w:type="dxa" w:w="4320"/>
          </w:tcPr>
          <w:p>
            <w:r>
              <w:t>[ACCES_BANQUE]</w:t>
            </w:r>
          </w:p>
        </w:tc>
        <w:tc>
          <w:tcPr>
            <w:tcW w:type="dxa" w:w="4320"/>
          </w:tcPr>
          <w:p>
            <w:r>
              <w:t>Rôles et droits de la banque (lecture/endossement)</w:t>
            </w:r>
          </w:p>
        </w:tc>
      </w:tr>
      <w:tr>
        <w:tc>
          <w:tcPr>
            <w:tcW w:type="dxa" w:w="4320"/>
          </w:tcPr>
          <w:p>
            <w:r>
              <w:t>[DELAIS_EMISSION]</w:t>
            </w:r>
          </w:p>
        </w:tc>
        <w:tc>
          <w:tcPr>
            <w:tcW w:type="dxa" w:w="4320"/>
          </w:tcPr>
          <w:p>
            <w:r>
              <w:t>Délai d’émission eBL après embarquement (ex. J+1 ouvré)</w:t>
            </w:r>
          </w:p>
        </w:tc>
      </w:tr>
      <w:tr>
        <w:tc>
          <w:tcPr>
            <w:tcW w:type="dxa" w:w="4320"/>
          </w:tcPr>
          <w:p>
            <w:r>
              <w:t>[DELAIS_TRANSFERT]</w:t>
            </w:r>
          </w:p>
        </w:tc>
        <w:tc>
          <w:tcPr>
            <w:tcW w:type="dxa" w:w="4320"/>
          </w:tcPr>
          <w:p>
            <w:r>
              <w:t>Délai de transfert/endorsement (ex. J+1 ouvré après émission)</w:t>
            </w:r>
          </w:p>
        </w:tc>
      </w:tr>
      <w:tr>
        <w:tc>
          <w:tcPr>
            <w:tcW w:type="dxa" w:w="4320"/>
          </w:tcPr>
          <w:p>
            <w:r>
              <w:t>[COUTS_PLATEFORME]</w:t>
            </w:r>
          </w:p>
        </w:tc>
        <w:tc>
          <w:tcPr>
            <w:tcW w:type="dxa" w:w="4320"/>
          </w:tcPr>
          <w:p>
            <w:r>
              <w:t>Qui paie : inscription, transactions, notarisation, etc.</w:t>
            </w:r>
          </w:p>
        </w:tc>
      </w:tr>
      <w:tr>
        <w:tc>
          <w:tcPr>
            <w:tcW w:type="dxa" w:w="4320"/>
          </w:tcPr>
          <w:p>
            <w:r>
              <w:t>[PLAN_B_PAPIER]</w:t>
            </w:r>
          </w:p>
        </w:tc>
        <w:tc>
          <w:tcPr>
            <w:tcW w:type="dxa" w:w="4320"/>
          </w:tcPr>
          <w:p>
            <w:r>
              <w:t>Option papier : conditions de bascule et délais (ex. J+2)</w:t>
            </w:r>
          </w:p>
        </w:tc>
      </w:tr>
      <w:tr>
        <w:tc>
          <w:tcPr>
            <w:tcW w:type="dxa" w:w="4320"/>
          </w:tcPr>
          <w:p>
            <w:r>
              <w:t>[DOCS_PRESENTATION]</w:t>
            </w:r>
          </w:p>
        </w:tc>
        <w:tc>
          <w:tcPr>
            <w:tcW w:type="dxa" w:w="4320"/>
          </w:tcPr>
          <w:p>
            <w:r>
              <w:t>Liste des documents à présenter à la banque</w:t>
            </w:r>
          </w:p>
        </w:tc>
      </w:tr>
    </w:tbl>
    <w:p/>
    <w:p>
      <w:pPr>
        <w:pStyle w:val="Heading1"/>
      </w:pPr>
      <w:r>
        <w:t>1. Objet &amp; gouvernance</w:t>
      </w:r>
    </w:p>
    <w:p>
      <w:r>
        <w:t>Décrire la procédure opérationnelle pour l’émission, le transfert et la remise d’un **eBL**, y compris la gestion des droits d’accès, la chaîne de possession numérique et le **plan B papier**.</w:t>
      </w:r>
    </w:p>
    <w:p>
      <w:r>
        <w:t>La gouvernance inclut : conformité bancaire (L/C), mapping Incoterms® 2020, responsabilité des coûts et des délais, gestion des incidents.</w:t>
      </w:r>
    </w:p>
    <w:p>
      <w:pPr>
        <w:pStyle w:val="Heading1"/>
      </w:pPr>
      <w:r>
        <w:t>2. Rôles &amp; RACI (eBL)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Tâche \ Rôle</w:t>
            </w:r>
          </w:p>
        </w:tc>
        <w:tc>
          <w:tcPr>
            <w:tcW w:type="dxa" w:w="1728"/>
          </w:tcPr>
          <w:p>
            <w:r>
              <w:t>Vendeur — Export Admin</w:t>
            </w:r>
          </w:p>
        </w:tc>
        <w:tc>
          <w:tcPr>
            <w:tcW w:type="dxa" w:w="1728"/>
          </w:tcPr>
          <w:p>
            <w:r>
              <w:t>Armateur/NVOCC</w:t>
            </w:r>
          </w:p>
        </w:tc>
        <w:tc>
          <w:tcPr>
            <w:tcW w:type="dxa" w:w="1728"/>
          </w:tcPr>
          <w:p>
            <w:r>
              <w:t>Acheteur — Doc Admin</w:t>
            </w:r>
          </w:p>
        </w:tc>
        <w:tc>
          <w:tcPr>
            <w:tcW w:type="dxa" w:w="1728"/>
          </w:tcPr>
          <w:p>
            <w:r>
              <w:t>Banque</w:t>
            </w:r>
          </w:p>
        </w:tc>
      </w:tr>
      <w:tr>
        <w:tc>
          <w:tcPr>
            <w:tcW w:type="dxa" w:w="1728"/>
          </w:tcPr>
          <w:p>
            <w:r>
              <w:t>Émission eBL (post-embarquement)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A/R</w:t>
            </w:r>
          </w:p>
        </w:tc>
        <w:tc>
          <w:tcPr>
            <w:tcW w:type="dxa" w:w="1728"/>
          </w:tcPr>
          <w:p>
            <w:r>
              <w:t>I</w:t>
            </w:r>
          </w:p>
        </w:tc>
        <w:tc>
          <w:tcPr>
            <w:tcW w:type="dxa" w:w="1728"/>
          </w:tcPr>
          <w:p>
            <w:r>
              <w:t>I</w:t>
            </w:r>
          </w:p>
        </w:tc>
      </w:tr>
      <w:tr>
        <w:tc>
          <w:tcPr>
            <w:tcW w:type="dxa" w:w="1728"/>
          </w:tcPr>
          <w:p>
            <w:r>
              <w:t>Endossements / Transfert de possession</w:t>
            </w:r>
          </w:p>
        </w:tc>
        <w:tc>
          <w:tcPr>
            <w:tcW w:type="dxa" w:w="1728"/>
          </w:tcPr>
          <w:p>
            <w:r>
              <w:t>A/R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I/A (si L/C)</w:t>
            </w:r>
          </w:p>
        </w:tc>
      </w:tr>
      <w:tr>
        <w:tc>
          <w:tcPr>
            <w:tcW w:type="dxa" w:w="1728"/>
          </w:tcPr>
          <w:p>
            <w:r>
              <w:t>Contrôle conformité bancaire</w:t>
            </w:r>
          </w:p>
        </w:tc>
        <w:tc>
          <w:tcPr>
            <w:tcW w:type="dxa" w:w="1728"/>
          </w:tcPr>
          <w:p>
            <w:r>
              <w:t>A/R</w:t>
            </w:r>
          </w:p>
        </w:tc>
        <w:tc>
          <w:tcPr>
            <w:tcW w:type="dxa" w:w="1728"/>
          </w:tcPr>
          <w:p>
            <w:r>
              <w:t>I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A</w:t>
            </w:r>
          </w:p>
        </w:tc>
      </w:tr>
      <w:tr>
        <w:tc>
          <w:tcPr>
            <w:tcW w:type="dxa" w:w="1728"/>
          </w:tcPr>
          <w:p>
            <w:r>
              <w:t>Paiement des frais plateforme</w:t>
            </w:r>
          </w:p>
        </w:tc>
        <w:tc>
          <w:tcPr>
            <w:tcW w:type="dxa" w:w="1728"/>
          </w:tcPr>
          <w:p>
            <w:r>
              <w:t>A/R</w:t>
            </w:r>
          </w:p>
        </w:tc>
        <w:tc>
          <w:tcPr>
            <w:tcW w:type="dxa" w:w="1728"/>
          </w:tcPr>
          <w:p>
            <w:r>
              <w:t>I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I</w:t>
            </w:r>
          </w:p>
        </w:tc>
      </w:tr>
      <w:tr>
        <w:tc>
          <w:tcPr>
            <w:tcW w:type="dxa" w:w="1728"/>
          </w:tcPr>
          <w:p>
            <w:r>
              <w:t>Plan B papier (si déclenché)</w:t>
            </w:r>
          </w:p>
        </w:tc>
        <w:tc>
          <w:tcPr>
            <w:tcW w:type="dxa" w:w="1728"/>
          </w:tcPr>
          <w:p>
            <w:r>
              <w:t>A/R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C</w:t>
            </w:r>
          </w:p>
        </w:tc>
        <w:tc>
          <w:tcPr>
            <w:tcW w:type="dxa" w:w="1728"/>
          </w:tcPr>
          <w:p>
            <w:r>
              <w:t>A</w:t>
            </w:r>
          </w:p>
        </w:tc>
      </w:tr>
    </w:tbl>
    <w:p/>
    <w:p>
      <w:pPr>
        <w:pStyle w:val="Heading1"/>
      </w:pPr>
      <w:r>
        <w:t>3. Workflow opérationnel (eBL)</w:t>
      </w:r>
    </w:p>
    <w:p>
      <w:r>
        <w:t>• W1 — **Pré-requis** : comptes actifs sur [PLATEFORME_EBL] pour toutes les parties ; droits paramétrés.</w:t>
      </w:r>
    </w:p>
    <w:p>
      <w:r>
        <w:t>• W2 — **Embarquement** : l’armateur/NVOCC charge et confirme ; déclenche l’émission eBL sous [DELAIS_EMISSION].</w:t>
      </w:r>
    </w:p>
    <w:p>
      <w:r>
        <w:t>• W3 — **Contrôle** : le vendeur vérifie les champs (shipper/consignee/notify, marks, qty, on board date).</w:t>
      </w:r>
    </w:p>
    <w:p>
      <w:r>
        <w:t>• W4 — **Transfert/Endossement** : transfert du eBL au bénéficiaire (banque ou acheteur) sous [DELAIS_TRANSFERT].</w:t>
      </w:r>
    </w:p>
    <w:p>
      <w:r>
        <w:t>• W5 — **Remise** : banque (si L/C) réalise endossement vers acheteur contre paiement/acceptation.</w:t>
      </w:r>
    </w:p>
    <w:p>
      <w:r>
        <w:t>• W6 — **Release** : émission de l’instruction de livraison (release) par armateur au port de destination.</w:t>
      </w:r>
    </w:p>
    <w:p>
      <w:r>
        <w:t>• W7 — **Archivage** : export des logs/horodatages et dépôt dans DMS.</w:t>
      </w:r>
    </w:p>
    <w:p/>
    <w:p>
      <w:pPr>
        <w:pStyle w:val="Heading1"/>
      </w:pPr>
      <w:r>
        <w:t>4. Alignement bancaire (L/C) &amp; wording</w:t>
      </w:r>
    </w:p>
    <w:p>
      <w:r>
        <w:t>Lister les libellés exigés par la banque : notation “on board”, type de document accepté (eBL/papier), signataires, nombre d’« originaux » équivalents, format des copies, fenêtre de présentation, clauses UCP600/URC, etc. Rappeler [DOCS_PRESENTATION].</w:t>
      </w:r>
    </w:p>
    <w:p>
      <w:pPr>
        <w:pStyle w:val="Heading1"/>
      </w:pPr>
      <w:r>
        <w:t>5. Plan B papier (fallback contrôlé)</w:t>
      </w:r>
    </w:p>
    <w:p>
      <w:r>
        <w:t>Déclencheurs : eBL non reconnu par la banque, panne plateforme, juridiction réfractaire.</w:t>
      </w:r>
    </w:p>
    <w:p>
      <w:r>
        <w:t>Mesures : armateur émet un B/L papier original ; **délai** : [PLAN_B_PAPIER] ; **chaîne documentaire** : coursiers/banque ; frais imputés à [COUTS_PLATEFORME] ou selon accord spécifique.</w:t>
      </w:r>
    </w:p>
    <w:p>
      <w:pPr>
        <w:pStyle w:val="Callout"/>
        <w:spacing w:before="80" w:after="80"/>
        <w:shd w:val="clear" w:color="auto" w:fill="D9EAD3"/>
      </w:pPr>
      <w:r>
        <w:t>Important : le plan B ne modifie pas l’allocation des risques au titre des Incoterms® 2020 choisis (ex. FCA).</w:t>
      </w:r>
    </w:p>
    <w:p>
      <w:pPr>
        <w:pStyle w:val="Heading1"/>
      </w:pPr>
      <w:r>
        <w:t>6. Coûts &amp; SLA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Poste</w:t>
            </w:r>
          </w:p>
        </w:tc>
        <w:tc>
          <w:tcPr>
            <w:tcW w:type="dxa" w:w="2160"/>
          </w:tcPr>
          <w:p>
            <w:r>
              <w:t>Qui paie</w:t>
            </w:r>
          </w:p>
        </w:tc>
        <w:tc>
          <w:tcPr>
            <w:tcW w:type="dxa" w:w="2160"/>
          </w:tcPr>
          <w:p>
            <w:r>
              <w:t>Montant/Unité</w:t>
            </w:r>
          </w:p>
        </w:tc>
        <w:tc>
          <w:tcPr>
            <w:tcW w:type="dxa" w:w="2160"/>
          </w:tcPr>
          <w:p>
            <w:r>
              <w:t>SLA</w:t>
            </w:r>
          </w:p>
        </w:tc>
      </w:tr>
      <w:tr>
        <w:tc>
          <w:tcPr>
            <w:tcW w:type="dxa" w:w="2160"/>
          </w:tcPr>
          <w:p>
            <w:r>
              <w:t>Inscription plateforme</w:t>
            </w:r>
          </w:p>
        </w:tc>
        <w:tc>
          <w:tcPr>
            <w:tcW w:type="dxa" w:w="2160"/>
          </w:tcPr>
          <w:p>
            <w:r>
              <w:t>[COUTS_PLATEFORME]</w:t>
            </w:r>
          </w:p>
        </w:tc>
        <w:tc>
          <w:tcPr>
            <w:tcW w:type="dxa" w:w="2160"/>
          </w:tcPr>
          <w:p>
            <w:r>
              <w:t>€/compte</w:t>
            </w:r>
          </w:p>
        </w:tc>
        <w:tc>
          <w:tcPr>
            <w:tcW w:type="dxa" w:w="2160"/>
          </w:tcPr>
          <w:p>
            <w:r>
              <w:t>Avant 1ère expédition</w:t>
            </w:r>
          </w:p>
        </w:tc>
      </w:tr>
      <w:tr>
        <w:tc>
          <w:tcPr>
            <w:tcW w:type="dxa" w:w="2160"/>
          </w:tcPr>
          <w:p>
            <w:r>
              <w:t>Frais émission eBL</w:t>
            </w:r>
          </w:p>
        </w:tc>
        <w:tc>
          <w:tcPr>
            <w:tcW w:type="dxa" w:w="2160"/>
          </w:tcPr>
          <w:p>
            <w:r>
              <w:t>[COUTS_PLATEFORME]</w:t>
            </w:r>
          </w:p>
        </w:tc>
        <w:tc>
          <w:tcPr>
            <w:tcW w:type="dxa" w:w="2160"/>
          </w:tcPr>
          <w:p>
            <w:r>
              <w:t>€/document</w:t>
            </w:r>
          </w:p>
        </w:tc>
        <w:tc>
          <w:tcPr>
            <w:tcW w:type="dxa" w:w="2160"/>
          </w:tcPr>
          <w:p>
            <w:r>
              <w:t>[DELAIS_EMISSION]</w:t>
            </w:r>
          </w:p>
        </w:tc>
      </w:tr>
      <w:tr>
        <w:tc>
          <w:tcPr>
            <w:tcW w:type="dxa" w:w="2160"/>
          </w:tcPr>
          <w:p>
            <w:r>
              <w:t>Frais endossement/transfert</w:t>
            </w:r>
          </w:p>
        </w:tc>
        <w:tc>
          <w:tcPr>
            <w:tcW w:type="dxa" w:w="2160"/>
          </w:tcPr>
          <w:p>
            <w:r>
              <w:t>[COUTS_PLATEFORME]</w:t>
            </w:r>
          </w:p>
        </w:tc>
        <w:tc>
          <w:tcPr>
            <w:tcW w:type="dxa" w:w="2160"/>
          </w:tcPr>
          <w:p>
            <w:r>
              <w:t>€/transfert</w:t>
            </w:r>
          </w:p>
        </w:tc>
        <w:tc>
          <w:tcPr>
            <w:tcW w:type="dxa" w:w="2160"/>
          </w:tcPr>
          <w:p>
            <w:r>
              <w:t>[DELAIS_TRANSFERT]</w:t>
            </w:r>
          </w:p>
        </w:tc>
      </w:tr>
      <w:tr>
        <w:tc>
          <w:tcPr>
            <w:tcW w:type="dxa" w:w="2160"/>
          </w:tcPr>
          <w:p>
            <w:r>
              <w:t>Frais release/DO</w:t>
            </w:r>
          </w:p>
        </w:tc>
        <w:tc>
          <w:tcPr>
            <w:tcW w:type="dxa" w:w="2160"/>
          </w:tcPr>
          <w:p>
            <w:r>
              <w:t>[COUTS_PLATEFORME]</w:t>
            </w:r>
          </w:p>
        </w:tc>
        <w:tc>
          <w:tcPr>
            <w:tcW w:type="dxa" w:w="2160"/>
          </w:tcPr>
          <w:p>
            <w:r>
              <w:t>€/OP</w:t>
            </w:r>
          </w:p>
        </w:tc>
        <w:tc>
          <w:tcPr>
            <w:tcW w:type="dxa" w:w="2160"/>
          </w:tcPr>
          <w:p>
            <w:r>
              <w:t>J+0 à J+1 après paiement</w:t>
            </w:r>
          </w:p>
        </w:tc>
      </w:tr>
      <w:tr>
        <w:tc>
          <w:tcPr>
            <w:tcW w:type="dxa" w:w="2160"/>
          </w:tcPr>
          <w:p>
            <w:r>
              <w:t>Plan B papier (courriers)</w:t>
            </w:r>
          </w:p>
        </w:tc>
        <w:tc>
          <w:tcPr>
            <w:tcW w:type="dxa" w:w="2160"/>
          </w:tcPr>
          <w:p>
            <w:r>
              <w:t>[COUTS_PLATEFORME]</w:t>
            </w:r>
          </w:p>
        </w:tc>
        <w:tc>
          <w:tcPr>
            <w:tcW w:type="dxa" w:w="2160"/>
          </w:tcPr>
          <w:p>
            <w:r>
              <w:t>€/envoi</w:t>
            </w:r>
          </w:p>
        </w:tc>
        <w:tc>
          <w:tcPr>
            <w:tcW w:type="dxa" w:w="2160"/>
          </w:tcPr>
          <w:p>
            <w:r>
              <w:t>J+1 à J+2</w:t>
            </w:r>
          </w:p>
        </w:tc>
      </w:tr>
    </w:tbl>
    <w:p/>
    <w:p>
      <w:pPr>
        <w:pStyle w:val="Heading1"/>
      </w:pPr>
      <w:r>
        <w:t>7. KPIs &amp; contrôle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KPI</w:t>
            </w:r>
          </w:p>
        </w:tc>
        <w:tc>
          <w:tcPr>
            <w:tcW w:type="dxa" w:w="2880"/>
          </w:tcPr>
          <w:p>
            <w:r>
              <w:t>Définition</w:t>
            </w:r>
          </w:p>
        </w:tc>
        <w:tc>
          <w:tcPr>
            <w:tcW w:type="dxa" w:w="2880"/>
          </w:tcPr>
          <w:p>
            <w:r>
              <w:t>Cible</w:t>
            </w:r>
          </w:p>
        </w:tc>
      </w:tr>
      <w:tr>
        <w:tc>
          <w:tcPr>
            <w:tcW w:type="dxa" w:w="2880"/>
          </w:tcPr>
          <w:p>
            <w:r>
              <w:t>K1</w:t>
            </w:r>
          </w:p>
        </w:tc>
        <w:tc>
          <w:tcPr>
            <w:tcW w:type="dxa" w:w="2880"/>
          </w:tcPr>
          <w:p>
            <w:r>
              <w:t>% eBL émis ≤ [DELAIS_EMISSION]</w:t>
            </w:r>
          </w:p>
        </w:tc>
        <w:tc>
          <w:tcPr>
            <w:tcW w:type="dxa" w:w="2880"/>
          </w:tcPr>
          <w:p>
            <w:r>
              <w:t>≥ 98 %</w:t>
            </w:r>
          </w:p>
        </w:tc>
      </w:tr>
      <w:tr>
        <w:tc>
          <w:tcPr>
            <w:tcW w:type="dxa" w:w="2880"/>
          </w:tcPr>
          <w:p>
            <w:r>
              <w:t>K2</w:t>
            </w:r>
          </w:p>
        </w:tc>
        <w:tc>
          <w:tcPr>
            <w:tcW w:type="dxa" w:w="2880"/>
          </w:tcPr>
          <w:p>
            <w:r>
              <w:t>% transferts ≤ [DELAIS_TRANSFERT]</w:t>
            </w:r>
          </w:p>
        </w:tc>
        <w:tc>
          <w:tcPr>
            <w:tcW w:type="dxa" w:w="2880"/>
          </w:tcPr>
          <w:p>
            <w:r>
              <w:t>≥ 98 %</w:t>
            </w:r>
          </w:p>
        </w:tc>
      </w:tr>
      <w:tr>
        <w:tc>
          <w:tcPr>
            <w:tcW w:type="dxa" w:w="2880"/>
          </w:tcPr>
          <w:p>
            <w:r>
              <w:t>K3</w:t>
            </w:r>
          </w:p>
        </w:tc>
        <w:tc>
          <w:tcPr>
            <w:tcW w:type="dxa" w:w="2880"/>
          </w:tcPr>
          <w:p>
            <w:r>
              <w:t>% dossiers conformes L/C</w:t>
            </w:r>
          </w:p>
        </w:tc>
        <w:tc>
          <w:tcPr>
            <w:tcW w:type="dxa" w:w="2880"/>
          </w:tcPr>
          <w:p>
            <w:r>
              <w:t>100 %</w:t>
            </w:r>
          </w:p>
        </w:tc>
      </w:tr>
      <w:tr>
        <w:tc>
          <w:tcPr>
            <w:tcW w:type="dxa" w:w="2880"/>
          </w:tcPr>
          <w:p>
            <w:r>
              <w:t>K4</w:t>
            </w:r>
          </w:p>
        </w:tc>
        <w:tc>
          <w:tcPr>
            <w:tcW w:type="dxa" w:w="2880"/>
          </w:tcPr>
          <w:p>
            <w:r>
              <w:t>Incidents plateforme par 100 eBL</w:t>
            </w:r>
          </w:p>
        </w:tc>
        <w:tc>
          <w:tcPr>
            <w:tcW w:type="dxa" w:w="2880"/>
          </w:tcPr>
          <w:p>
            <w:r>
              <w:t>&lt; 1</w:t>
            </w:r>
          </w:p>
        </w:tc>
      </w:tr>
      <w:tr>
        <w:tc>
          <w:tcPr>
            <w:tcW w:type="dxa" w:w="2880"/>
          </w:tcPr>
          <w:p>
            <w:r>
              <w:t>K5</w:t>
            </w:r>
          </w:p>
        </w:tc>
        <w:tc>
          <w:tcPr>
            <w:tcW w:type="dxa" w:w="2880"/>
          </w:tcPr>
          <w:p>
            <w:r>
              <w:t>Délai release après paiement</w:t>
            </w:r>
          </w:p>
        </w:tc>
        <w:tc>
          <w:tcPr>
            <w:tcW w:type="dxa" w:w="2880"/>
          </w:tcPr>
          <w:p>
            <w:r>
              <w:t>≤ 24 h</w:t>
            </w:r>
          </w:p>
        </w:tc>
      </w:tr>
    </w:tbl>
    <w:p/>
    <w:p>
      <w:pPr>
        <w:pStyle w:val="Heading1"/>
      </w:pPr>
      <w:r>
        <w:t>8. Gestion des incidents</w:t>
      </w:r>
    </w:p>
    <w:p>
      <w:r>
        <w:t>Journal d’incidents (à tenir dans le DMS) : date/heure, n° eBL, partie impactée, symptôme, action prise, délai de rétablissement, plan préventif.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Date/heure</w:t>
            </w:r>
          </w:p>
        </w:tc>
        <w:tc>
          <w:tcPr>
            <w:tcW w:type="dxa" w:w="1440"/>
          </w:tcPr>
          <w:p>
            <w:r>
              <w:t>Réf eBL</w:t>
            </w:r>
          </w:p>
        </w:tc>
        <w:tc>
          <w:tcPr>
            <w:tcW w:type="dxa" w:w="1440"/>
          </w:tcPr>
          <w:p>
            <w:r>
              <w:t>Partie</w:t>
            </w:r>
          </w:p>
        </w:tc>
        <w:tc>
          <w:tcPr>
            <w:tcW w:type="dxa" w:w="1440"/>
          </w:tcPr>
          <w:p>
            <w:r>
              <w:t>Symptôme</w:t>
            </w:r>
          </w:p>
        </w:tc>
        <w:tc>
          <w:tcPr>
            <w:tcW w:type="dxa" w:w="1440"/>
          </w:tcPr>
          <w:p>
            <w:r>
              <w:t>Action</w:t>
            </w:r>
          </w:p>
        </w:tc>
        <w:tc>
          <w:tcPr>
            <w:tcW w:type="dxa" w:w="1440"/>
          </w:tcPr>
          <w:p>
            <w:r>
              <w:t>Rétablissement</w:t>
            </w:r>
          </w:p>
        </w:tc>
      </w:tr>
      <w:tr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  <w:tc>
          <w:tcPr>
            <w:tcW w:type="dxa" w:w="1440"/>
          </w:tcPr>
          <w:p>
            <w:r/>
          </w:p>
        </w:tc>
      </w:tr>
    </w:tbl>
    <w:p>
      <w:pPr>
        <w:pStyle w:val="Heading1"/>
      </w:pPr>
      <w:r>
        <w:t>9. Conformité &amp; juridique</w:t>
      </w:r>
    </w:p>
    <w:p>
      <w:r>
        <w:t>Rappeler les règles UCP600/URR/URC applicables, la reconnaissance juridique de la plateforme [PLATEFORME_EBL] dans les juridictions d’escale, et les exigences KYC/AML le cas échéant.</w:t>
      </w:r>
    </w:p>
    <w:p>
      <w:pPr>
        <w:pStyle w:val="Heading1"/>
      </w:pPr>
      <w:r>
        <w:t>10. Approbations &amp; versioning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Fonction</w:t>
            </w:r>
          </w:p>
        </w:tc>
        <w:tc>
          <w:tcPr>
            <w:tcW w:type="dxa" w:w="2160"/>
          </w:tcPr>
          <w:p>
            <w:r>
              <w:t>Nom &amp; signature</w:t>
            </w:r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>
              <w:t>Commentaires</w:t>
            </w:r>
          </w:p>
        </w:tc>
      </w:tr>
      <w:tr>
        <w:tc>
          <w:tcPr>
            <w:tcW w:type="dxa" w:w="2160"/>
          </w:tcPr>
          <w:p>
            <w:r>
              <w:t>Vendeur — Export Admin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Armateur/NVOCC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Acheteur — Doc Admin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  <w:tr>
        <w:tc>
          <w:tcPr>
            <w:tcW w:type="dxa" w:w="2160"/>
          </w:tcPr>
          <w:p>
            <w:r>
              <w:t>Banque (si L/C)</w:t>
            </w:r>
          </w:p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  <w:tc>
          <w:tcPr>
            <w:tcW w:type="dxa" w:w="2160"/>
          </w:tcPr>
          <w:p/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t>lecoursgratuit.com — Annexe Procédure eBL — v1.0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50505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50505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50505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Calibri" w:hAnsi="Calibri"/>
      <w:color w:val="0066CC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allout">
    <w:name w:val="Callout"/>
    <w:basedOn w:val="Normal"/>
    <w:rPr>
      <w:rFonts w:ascii="Calibri" w:hAnsi="Calibri"/>
      <w:sz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Annexe — Procédure eBL (connaissement électronique)</dc:title>
  <dc:subject/>
  <dc:creator>lecoursgratuit.com</dc:creator>
  <cp:keywords/>
  <dc:description>Modèle pratique : plateforme, droits d’accès, transfert de possession, plan B papier, coûts, SLA, KPIs.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