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Addendum — Surcharges BAF / PSS / GRI</w:t>
      </w:r>
    </w:p>
    <w:p>
      <w:r>
        <w:rPr>
          <w:b/>
        </w:rPr>
        <w:t>Annexe prix — ajustement automatique des surcharges maritimes (Incoterms® 2020)</w:t>
      </w:r>
    </w:p>
    <w:p>
      <w:pPr>
        <w:pStyle w:val="Callout"/>
        <w:shd w:val="clear" w:color="auto" w:fill="FFF2CC"/>
      </w:pPr>
      <w:r>
        <w:t>⚠ Avertissement : modèle générique. À adapter selon routes, Incoterms, transporteurs et juridictions. L’addendum complète le prix de base (fret) sans en changer l’allocation des risques au titre des Incoterms® 2020.</w:t>
      </w:r>
    </w:p>
    <w:p>
      <w:pPr>
        <w:pStyle w:val="Heading1"/>
      </w:pPr>
      <w:r>
        <w:t>0. Variables du contrat (à compléter)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Variable</w:t>
            </w:r>
          </w:p>
        </w:tc>
        <w:tc>
          <w:tcPr>
            <w:tcW w:type="dxa" w:w="4320"/>
          </w:tcPr>
          <w:p>
            <w:r>
              <w:t>Valeur à renseigner</w:t>
            </w:r>
          </w:p>
        </w:tc>
      </w:tr>
      <w:tr>
        <w:tc>
          <w:tcPr>
            <w:tcW w:type="dxa" w:w="4320"/>
          </w:tcPr>
          <w:p>
            <w:r>
              <w:t>[REGLE_INCOTERMS]</w:t>
            </w:r>
          </w:p>
        </w:tc>
        <w:tc>
          <w:tcPr>
            <w:tcW w:type="dxa" w:w="4320"/>
          </w:tcPr>
          <w:p>
            <w:r>
              <w:t>EXW/FCA/FOB/CIF/CIP/DAP/DDP/DPU</w:t>
            </w:r>
          </w:p>
        </w:tc>
      </w:tr>
      <w:tr>
        <w:tc>
          <w:tcPr>
            <w:tcW w:type="dxa" w:w="4320"/>
          </w:tcPr>
          <w:p>
            <w:r>
              <w:t>[TRADE_LANE]</w:t>
            </w:r>
          </w:p>
        </w:tc>
        <w:tc>
          <w:tcPr>
            <w:tcW w:type="dxa" w:w="4320"/>
          </w:tcPr>
          <w:p>
            <w:r>
              <w:t>Origine → Destination (ex. North Europe → West Med)</w:t>
            </w:r>
          </w:p>
        </w:tc>
      </w:tr>
      <w:tr>
        <w:tc>
          <w:tcPr>
            <w:tcW w:type="dxa" w:w="4320"/>
          </w:tcPr>
          <w:p>
            <w:r>
              <w:t>[PERIODE_REFERENCE]</w:t>
            </w:r>
          </w:p>
        </w:tc>
        <w:tc>
          <w:tcPr>
            <w:tcW w:type="dxa" w:w="4320"/>
          </w:tcPr>
          <w:p>
            <w:r>
              <w:t>Mois/Trimestre d’application</w:t>
            </w:r>
          </w:p>
        </w:tc>
      </w:tr>
      <w:tr>
        <w:tc>
          <w:tcPr>
            <w:tcW w:type="dxa" w:w="4320"/>
          </w:tcPr>
          <w:p>
            <w:r>
              <w:t>[SOURCE_INDICE_BAF]</w:t>
            </w:r>
          </w:p>
        </w:tc>
        <w:tc>
          <w:tcPr>
            <w:tcW w:type="dxa" w:w="4320"/>
          </w:tcPr>
          <w:p>
            <w:r>
              <w:t>Ex. armateur / indice bunker public (VLSFO)</w:t>
            </w:r>
          </w:p>
        </w:tc>
      </w:tr>
      <w:tr>
        <w:tc>
          <w:tcPr>
            <w:tcW w:type="dxa" w:w="4320"/>
          </w:tcPr>
          <w:p>
            <w:r>
              <w:t>[SOURCE_PSS_GRI]</w:t>
            </w:r>
          </w:p>
        </w:tc>
        <w:tc>
          <w:tcPr>
            <w:tcW w:type="dxa" w:w="4320"/>
          </w:tcPr>
          <w:p>
            <w:r>
              <w:t>Circulaires armateurs / NVOCC / freight indices</w:t>
            </w:r>
          </w:p>
        </w:tc>
      </w:tr>
      <w:tr>
        <w:tc>
          <w:tcPr>
            <w:tcW w:type="dxa" w:w="4320"/>
          </w:tcPr>
          <w:p>
            <w:r>
              <w:t>[DELAI_PREAVIS]</w:t>
            </w:r>
          </w:p>
        </w:tc>
        <w:tc>
          <w:tcPr>
            <w:tcW w:type="dxa" w:w="4320"/>
          </w:tcPr>
          <w:p>
            <w:r>
              <w:t>Délai préavis avant application (ex. 7 jours ouvrés)</w:t>
            </w:r>
          </w:p>
        </w:tc>
      </w:tr>
      <w:tr>
        <w:tc>
          <w:tcPr>
            <w:tcW w:type="dxa" w:w="4320"/>
          </w:tcPr>
          <w:p>
            <w:r>
              <w:t>[PLAFOND_MENSUEL_%]</w:t>
            </w:r>
          </w:p>
        </w:tc>
        <w:tc>
          <w:tcPr>
            <w:tcW w:type="dxa" w:w="4320"/>
          </w:tcPr>
          <w:p>
            <w:r>
              <w:t>Cap variation mensuelle (ex. 15 %)</w:t>
            </w:r>
          </w:p>
        </w:tc>
      </w:tr>
      <w:tr>
        <w:tc>
          <w:tcPr>
            <w:tcW w:type="dxa" w:w="4320"/>
          </w:tcPr>
          <w:p>
            <w:r>
              <w:t>[PLANCHER_ABS]</w:t>
            </w:r>
          </w:p>
        </w:tc>
        <w:tc>
          <w:tcPr>
            <w:tcW w:type="dxa" w:w="4320"/>
          </w:tcPr>
          <w:p>
            <w:r>
              <w:t>Deadband (ex. ±25 € / box)</w:t>
            </w:r>
          </w:p>
        </w:tc>
      </w:tr>
    </w:tbl>
    <w:p/>
    <w:p>
      <w:pPr>
        <w:pStyle w:val="Heading1"/>
      </w:pPr>
      <w:r>
        <w:t>1. Objet &amp; champ d’application</w:t>
      </w:r>
    </w:p>
    <w:p>
      <w:r>
        <w:t>Définir les modalités d’ajustement automatique des surcharges **BAF**, **PSS** et **GRI** s’appliquant aux expéditions sur **[TRADE_LANE]** durant **[PERIODE_REFERENCE]**. Application aux prix convenus sous **Incoterms® 2020 [REGLE_INCOTERMS]** sans modifier l’allocation des responsabilités et risques.</w:t>
      </w:r>
    </w:p>
    <w:p>
      <w:pPr>
        <w:pStyle w:val="Heading1"/>
      </w:pPr>
      <w:r>
        <w:t>2. Définitions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Terme</w:t>
            </w:r>
          </w:p>
        </w:tc>
        <w:tc>
          <w:tcPr>
            <w:tcW w:type="dxa" w:w="4320"/>
          </w:tcPr>
          <w:p>
            <w:r>
              <w:t>Définition</w:t>
            </w:r>
          </w:p>
        </w:tc>
      </w:tr>
      <w:tr>
        <w:tc>
          <w:tcPr>
            <w:tcW w:type="dxa" w:w="4320"/>
          </w:tcPr>
          <w:p>
            <w:r>
              <w:t>BAF</w:t>
            </w:r>
          </w:p>
        </w:tc>
        <w:tc>
          <w:tcPr>
            <w:tcW w:type="dxa" w:w="4320"/>
          </w:tcPr>
          <w:p>
            <w:r>
              <w:t>Surcharge carburant liée à l’évolution du coût des combustibles marins (ex. VLSFO).</w:t>
            </w:r>
          </w:p>
        </w:tc>
      </w:tr>
      <w:tr>
        <w:tc>
          <w:tcPr>
            <w:tcW w:type="dxa" w:w="4320"/>
          </w:tcPr>
          <w:p>
            <w:r>
              <w:t>PSS</w:t>
            </w:r>
          </w:p>
        </w:tc>
        <w:tc>
          <w:tcPr>
            <w:tcW w:type="dxa" w:w="4320"/>
          </w:tcPr>
          <w:p>
            <w:r>
              <w:t>Surcharge saisonnière appliquée lors des pics de demande et de la congestion.</w:t>
            </w:r>
          </w:p>
        </w:tc>
      </w:tr>
      <w:tr>
        <w:tc>
          <w:tcPr>
            <w:tcW w:type="dxa" w:w="4320"/>
          </w:tcPr>
          <w:p>
            <w:r>
              <w:t>GRI</w:t>
            </w:r>
          </w:p>
        </w:tc>
        <w:tc>
          <w:tcPr>
            <w:tcW w:type="dxa" w:w="4320"/>
          </w:tcPr>
          <w:p>
            <w:r>
              <w:t>Augmentation générale des tarifs communiquée par armateurs/NVOCC.</w:t>
            </w:r>
          </w:p>
        </w:tc>
      </w:tr>
      <w:tr>
        <w:tc>
          <w:tcPr>
            <w:tcW w:type="dxa" w:w="4320"/>
          </w:tcPr>
          <w:p>
            <w:r>
              <w:t>Indice de référence</w:t>
            </w:r>
          </w:p>
        </w:tc>
        <w:tc>
          <w:tcPr>
            <w:tcW w:type="dxa" w:w="4320"/>
          </w:tcPr>
          <w:p>
            <w:r>
              <w:t>Source publique et vérifiable ([SOURCE_INDICE_BAF] / [SOURCE_PSS_GRI]).</w:t>
            </w:r>
          </w:p>
        </w:tc>
      </w:tr>
      <w:tr>
        <w:tc>
          <w:tcPr>
            <w:tcW w:type="dxa" w:w="4320"/>
          </w:tcPr>
          <w:p>
            <w:r>
              <w:t>Base de prix</w:t>
            </w:r>
          </w:p>
        </w:tc>
        <w:tc>
          <w:tcPr>
            <w:tcW w:type="dxa" w:w="4320"/>
          </w:tcPr>
          <w:p>
            <w:r>
              <w:t>Fret de base hors surcharges.</w:t>
            </w:r>
          </w:p>
        </w:tc>
      </w:tr>
    </w:tbl>
    <w:p/>
    <w:p>
      <w:pPr>
        <w:pStyle w:val="Heading1"/>
      </w:pPr>
      <w:r>
        <w:t>3. Mécanisme d’ajustement</w:t>
      </w:r>
    </w:p>
    <w:p>
      <w:r>
        <w:t>3.1 **BAF (indexée)** — BAF_mois = BAF_base × (Indice_VLSFO_mois / Indice_VLSFO_base). Plancher d’inaction **[PLANCHER_ABS]** ; cap mensuel **[PLAFOND_MENSUEL_%]**.</w:t>
      </w:r>
    </w:p>
    <w:p>
      <w:r>
        <w:t>3.2 **PSS (événementielle)** — Activation sur **preuve** (circulaire transporteur), **préavis [DELAI_PREAVIS]**, extinction à fin d’événement.</w:t>
      </w:r>
    </w:p>
    <w:p>
      <w:r>
        <w:t>3.3 **GRI (capée)** — Application avec **cap** **[PLAFOND_MENSUEL_%]** du prix total/mois, pas de rétroactivité ; au-delà, **avenant** requis.</w:t>
      </w:r>
    </w:p>
    <w:p>
      <w:pPr>
        <w:pStyle w:val="Heading1"/>
      </w:pPr>
      <w:r>
        <w:t>4. Transparence &amp; preuve</w:t>
      </w:r>
    </w:p>
    <w:p>
      <w:r>
        <w:t>Remise d’une **fiche de calcul** : indices, dates, formules, montant par type de conteneur (20/40/HC/reefer). Sources : **[SOURCE_INDICE_BAF]**, **[SOURCE_PSS_GRI]**.</w:t>
      </w:r>
    </w:p>
    <w:p>
      <w:pPr>
        <w:pStyle w:val="Heading1"/>
      </w:pPr>
      <w:r>
        <w:t>5. Notification &amp; calendrier</w:t>
      </w:r>
    </w:p>
    <w:p>
      <w:r>
        <w:t>Prise d’effet le 1er du mois suivant la publication de l’indice, sous réserve d’un **préavis de [DELAI_PREAVIS]**. Annonces PSS/GRI reçues après le 25 → application mois **M+1**.</w:t>
      </w:r>
    </w:p>
    <w:p>
      <w:pPr>
        <w:pStyle w:val="Heading1"/>
      </w:pPr>
      <w:r>
        <w:t>6. Exceptions &amp; suspension</w:t>
      </w:r>
    </w:p>
    <w:p>
      <w:r>
        <w:t>Force majeure/fermeture portuaire/embargo : réunion sous 48 h pour traitement ad hoc. Pas d’ajustement rétroactif si service non rendu.</w:t>
      </w:r>
    </w:p>
    <w:p>
      <w:pPr>
        <w:pStyle w:val="Heading1"/>
      </w:pPr>
      <w:r>
        <w:t>7. Audit &amp; droit de vérification</w:t>
      </w:r>
    </w:p>
    <w:p>
      <w:r>
        <w:t>Droit d’**audit documentaire** semestriel des calculs (indices, circulaires), sous NDA/confidentialité.</w:t>
      </w:r>
    </w:p>
    <w:p>
      <w:pPr>
        <w:pStyle w:val="Heading1"/>
      </w:pPr>
      <w:r>
        <w:t>8. Exemples de calcul (indicatifs)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Type cont.</w:t>
            </w:r>
          </w:p>
        </w:tc>
        <w:tc>
          <w:tcPr>
            <w:tcW w:type="dxa" w:w="1440"/>
          </w:tcPr>
          <w:p>
            <w:r>
              <w:t>BAF base (€)</w:t>
            </w:r>
          </w:p>
        </w:tc>
        <w:tc>
          <w:tcPr>
            <w:tcW w:type="dxa" w:w="1440"/>
          </w:tcPr>
          <w:p>
            <w:r>
              <w:t>Indice base</w:t>
            </w:r>
          </w:p>
        </w:tc>
        <w:tc>
          <w:tcPr>
            <w:tcW w:type="dxa" w:w="1440"/>
          </w:tcPr>
          <w:p>
            <w:r>
              <w:t>Indice mois</w:t>
            </w:r>
          </w:p>
        </w:tc>
        <w:tc>
          <w:tcPr>
            <w:tcW w:type="dxa" w:w="1440"/>
          </w:tcPr>
          <w:p>
            <w:r>
              <w:t>BAF calculée (€)</w:t>
            </w:r>
          </w:p>
        </w:tc>
        <w:tc>
          <w:tcPr>
            <w:tcW w:type="dxa" w:w="1440"/>
          </w:tcPr>
          <w:p>
            <w:r>
              <w:t>PSS/GRI (€)</w:t>
            </w:r>
          </w:p>
        </w:tc>
      </w:tr>
      <w:tr>
        <w:tc>
          <w:tcPr>
            <w:tcW w:type="dxa" w:w="1440"/>
          </w:tcPr>
          <w:p>
            <w:r>
              <w:t>20' Dry</w:t>
            </w:r>
          </w:p>
        </w:tc>
        <w:tc>
          <w:tcPr>
            <w:tcW w:type="dxa" w:w="1440"/>
          </w:tcPr>
          <w:p>
            <w:r>
              <w:t>120</w:t>
            </w:r>
          </w:p>
        </w:tc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112</w:t>
            </w:r>
          </w:p>
        </w:tc>
        <w:tc>
          <w:tcPr>
            <w:tcW w:type="dxa" w:w="1440"/>
          </w:tcPr>
          <w:p>
            <w:r>
              <w:t>=B2*(D2/C2)</w:t>
            </w:r>
          </w:p>
        </w:tc>
        <w:tc>
          <w:tcPr>
            <w:tcW w:type="dxa" w:w="1440"/>
          </w:tcPr>
          <w:p>
            <w:r>
              <w:t>0</w:t>
            </w:r>
          </w:p>
        </w:tc>
      </w:tr>
      <w:tr>
        <w:tc>
          <w:tcPr>
            <w:tcW w:type="dxa" w:w="1440"/>
          </w:tcPr>
          <w:p>
            <w:r>
              <w:t>40' Dry</w:t>
            </w:r>
          </w:p>
        </w:tc>
        <w:tc>
          <w:tcPr>
            <w:tcW w:type="dxa" w:w="1440"/>
          </w:tcPr>
          <w:p>
            <w:r>
              <w:t>180</w:t>
            </w:r>
          </w:p>
        </w:tc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112</w:t>
            </w:r>
          </w:p>
        </w:tc>
        <w:tc>
          <w:tcPr>
            <w:tcW w:type="dxa" w:w="1440"/>
          </w:tcPr>
          <w:p>
            <w:r>
              <w:t>=B3*(D3/C3)</w:t>
            </w:r>
          </w:p>
        </w:tc>
        <w:tc>
          <w:tcPr>
            <w:tcW w:type="dxa" w:w="1440"/>
          </w:tcPr>
          <w:p>
            <w:r>
              <w:t>0</w:t>
            </w:r>
          </w:p>
        </w:tc>
      </w:tr>
      <w:tr>
        <w:tc>
          <w:tcPr>
            <w:tcW w:type="dxa" w:w="1440"/>
          </w:tcPr>
          <w:p>
            <w:r>
              <w:t>40' Reefer</w:t>
            </w:r>
          </w:p>
        </w:tc>
        <w:tc>
          <w:tcPr>
            <w:tcW w:type="dxa" w:w="1440"/>
          </w:tcPr>
          <w:p>
            <w:r>
              <w:t>260</w:t>
            </w:r>
          </w:p>
        </w:tc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112</w:t>
            </w:r>
          </w:p>
        </w:tc>
        <w:tc>
          <w:tcPr>
            <w:tcW w:type="dxa" w:w="1440"/>
          </w:tcPr>
          <w:p>
            <w:r>
              <w:t>=B4*(D4/C4)</w:t>
            </w:r>
          </w:p>
        </w:tc>
        <w:tc>
          <w:tcPr>
            <w:tcW w:type="dxa" w:w="1440"/>
          </w:tcPr>
          <w:p>
            <w:r>
              <w:t>50</w:t>
            </w:r>
          </w:p>
        </w:tc>
      </w:tr>
    </w:tbl>
    <w:p>
      <w:pPr>
        <w:pStyle w:val="Heading1"/>
      </w:pPr>
      <w:r>
        <w:t>9. Non-discrimination &amp; meilleure offre</w:t>
      </w:r>
    </w:p>
    <w:p>
      <w:r>
        <w:t>Application **non-discriminatoire** des surcharges. Information proactive des opportunités de baisse (nouvelle grille, corridor alternatif).</w:t>
      </w:r>
    </w:p>
    <w:p>
      <w:pPr>
        <w:pStyle w:val="Heading1"/>
      </w:pPr>
      <w:r>
        <w:t>10. Durée &amp; résiliation</w:t>
      </w:r>
    </w:p>
    <w:p>
      <w:r>
        <w:t>Validité : **[PERIODE_REFERENCE]**, renouvelable mensuellement. Résiliation avec **préavis [DELAI_PREAVIS]**, sans rétroactivité.</w:t>
      </w:r>
    </w:p>
    <w:p>
      <w:pPr>
        <w:pStyle w:val="Heading1"/>
      </w:pPr>
      <w:r>
        <w:t>11. Approbations &amp;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Pour le Client</w:t>
            </w:r>
          </w:p>
        </w:tc>
        <w:tc>
          <w:tcPr>
            <w:tcW w:type="dxa" w:w="4320"/>
          </w:tcPr>
          <w:p>
            <w:r>
              <w:t>Pour le Prestataire</w:t>
            </w:r>
          </w:p>
        </w:tc>
      </w:tr>
      <w:tr>
        <w:tc>
          <w:tcPr>
            <w:tcW w:type="dxa" w:w="4320"/>
          </w:tcPr>
          <w:p>
            <w:r>
              <w:t>Nom / Fonction / Signature / Date</w:t>
            </w:r>
          </w:p>
        </w:tc>
        <w:tc>
          <w:tcPr>
            <w:tcW w:type="dxa" w:w="4320"/>
          </w:tcPr>
          <w:p>
            <w:r>
              <w:t>Nom / Fonction / Signature / Date</w:t>
            </w:r>
          </w:p>
        </w:tc>
      </w:tr>
      <w:tr>
        <w:tc>
          <w:tcPr>
            <w:tcW w:type="dxa" w:w="4320"/>
          </w:tcPr>
          <w:p>
            <w:r>
              <w:t>Cachet (si requis)</w:t>
            </w:r>
          </w:p>
        </w:tc>
        <w:tc>
          <w:tcPr>
            <w:tcW w:type="dxa" w:w="4320"/>
          </w:tcPr>
          <w:p>
            <w:r>
              <w:t>Cachet (si requis)</w:t>
            </w:r>
          </w:p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</w:tbl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>lecoursgratuit.com — Addendum Surcharges BAF/PSS/GRI — v1.0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50505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50505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50505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Calibri" w:hAnsi="Calibri"/>
      <w:color w:val="0066CC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allout">
    <w:name w:val="Callout"/>
    <w:basedOn w:val="Normal"/>
    <w:rPr>
      <w:rFonts w:ascii="Calibri" w:hAnsi="Calibri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Addendum — Surcharges BAF / PSS / GRI</dc:title>
  <dc:subject/>
  <dc:creator>lecoursgratuit.com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