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NOTE MÉTHODOLOGIQUE — CANEVAS GÉNÉRIQUE</w:t>
        <w:br/>
        <w:t>PROJET X</w:t>
      </w:r>
    </w:p>
    <w:p>
      <w:pPr>
        <w:jc w:val="center"/>
      </w:pPr>
      <w:r>
        <w:rPr>
          <w:i/>
          <w:sz w:val="22"/>
        </w:rPr>
        <w:t>Modèle adaptable à tout secteur (éducation, santé, industrie, social, numérique…)</w:t>
      </w:r>
    </w:p>
    <w:p>
      <w:pPr>
        <w:spacing w:after="240"/>
      </w:pPr>
    </w:p>
    <w:tbl>
      <w:tblPr>
        <w:tblStyle w:val="TableGrid"/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Client / Donneur d’ordre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Point focal (nom, email, téléphone)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Durée du projet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Périmètre géographique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Références TDR / Contrat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Version du document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[À compléter]</w:t>
            </w:r>
          </w:p>
        </w:tc>
      </w:tr>
    </w:tbl>
    <w:p>
      <w:pPr>
        <w:spacing w:after="80"/>
      </w:pPr>
    </w:p>
    <w:p>
      <w:r>
        <w:rPr>
          <w:i/>
          <w:sz w:val="18"/>
        </w:rPr>
        <w:t>Astuce : insérez une Table des matières (Références &gt; Table des matières) une fois vos titres finalisés, puis mettez-la à jour (F9).</w:t>
      </w:r>
    </w:p>
    <w:p>
      <w:pPr>
        <w:pStyle w:val="Heading1"/>
      </w:pPr>
      <w:r>
        <w:t>1. Résumé exécutif</w:t>
      </w:r>
    </w:p>
    <w:p>
      <w:r>
        <w:rPr>
          <w:b w:val="0"/>
          <w:i w:val="0"/>
          <w:sz w:val="22"/>
        </w:rPr>
        <w:t>Exposez en 10–12 lignes la logique du projet X : la problématique, les objectifs, la valeur ajoutée, la méthode de mise en œuvre, les livrables et les résultats attendus.</w:t>
      </w:r>
    </w:p>
    <w:p>
      <w:pPr>
        <w:pStyle w:val="Heading1"/>
      </w:pPr>
      <w:r>
        <w:t>2. Problématique &amp; contexte</w:t>
      </w:r>
    </w:p>
    <w:p>
      <w:pPr>
        <w:pStyle w:val="ListBullet"/>
      </w:pPr>
      <w:r>
        <w:t>2.1 Contexte : données clés, parties prenantes, contraintes (réglementaires, techniques, sociales).</w:t>
      </w:r>
    </w:p>
    <w:p>
      <w:pPr>
        <w:pStyle w:val="ListBullet"/>
      </w:pPr>
      <w:r>
        <w:t>2.2 Problématique : quels besoins précis résoudre, quelle population cible, quels effets attendus.</w:t>
      </w:r>
    </w:p>
    <w:p>
      <w:pPr>
        <w:pStyle w:val="Heading1"/>
      </w:pPr>
      <w:r>
        <w:t>3. Objectifs (général &amp; spécifiques) — SMART</w:t>
      </w:r>
    </w:p>
    <w:p>
      <w:r>
        <w:rPr>
          <w:b w:val="0"/>
          <w:i/>
          <w:sz w:val="22"/>
        </w:rPr>
        <w:t>Définissez 1 objectif général et 3–5 objectifs spécifiques. Vérifiez leur caractère SMART (Spécifique, Mesurable, Atteignable, Réaliste, Temporel).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S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M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A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R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T</w:t>
            </w:r>
          </w:p>
        </w:tc>
      </w:tr>
      <w:tr>
        <w:tc>
          <w:tcPr>
            <w:tcW w:type="dxa" w:w="1440"/>
          </w:tcPr>
          <w:p>
            <w:r>
              <w:t>[Objectif spécifique]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</w:tr>
      <w:tr>
        <w:tc>
          <w:tcPr>
            <w:tcW w:type="dxa" w:w="1440"/>
          </w:tcPr>
          <w:p>
            <w:r>
              <w:t>[Objectif spécifique]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</w:tr>
      <w:tr>
        <w:tc>
          <w:tcPr>
            <w:tcW w:type="dxa" w:w="1440"/>
          </w:tcPr>
          <w:p>
            <w:r>
              <w:t>[Objectif spécifique]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</w:tr>
      <w:tr>
        <w:tc>
          <w:tcPr>
            <w:tcW w:type="dxa" w:w="1440"/>
          </w:tcPr>
          <w:p>
            <w:r>
              <w:t>[Objectif spécifique]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  <w:tc>
          <w:tcPr>
            <w:tcW w:type="dxa" w:w="1440"/>
          </w:tcPr>
          <w:p>
            <w:r>
              <w:t>□</w:t>
            </w:r>
          </w:p>
        </w:tc>
      </w:tr>
    </w:tbl>
    <w:p>
      <w:pPr>
        <w:pStyle w:val="Heading1"/>
      </w:pPr>
      <w:r>
        <w:t>4. Périmètre du projet (In/Out of Scope)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D9D9D9"/>
            <w:vAlign w:val="center"/>
          </w:tcPr>
          <w:p>
            <w:r>
              <w:rPr>
                <w:b/>
              </w:rPr>
              <w:t>Inclus (IN)</w:t>
            </w:r>
          </w:p>
        </w:tc>
        <w:tc>
          <w:tcPr>
            <w:tcW w:type="dxa" w:w="4320"/>
            <w:shd w:val="clear" w:color="auto" w:fill="D9D9D9"/>
            <w:vAlign w:val="center"/>
          </w:tcPr>
          <w:p>
            <w:r>
              <w:rPr>
                <w:b/>
              </w:rPr>
              <w:t>Exclus (OUT)</w:t>
            </w:r>
          </w:p>
        </w:tc>
      </w:tr>
      <w:tr>
        <w:tc>
          <w:tcPr>
            <w:tcW w:type="dxa" w:w="4320"/>
          </w:tcPr>
          <w:p>
            <w:r>
              <w:t>—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  <w:tr>
        <w:tc>
          <w:tcPr>
            <w:tcW w:type="dxa" w:w="4320"/>
          </w:tcPr>
          <w:p>
            <w:r>
              <w:t>—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  <w:tr>
        <w:tc>
          <w:tcPr>
            <w:tcW w:type="dxa" w:w="4320"/>
          </w:tcPr>
          <w:p>
            <w:r>
              <w:t>—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  <w:tr>
        <w:tc>
          <w:tcPr>
            <w:tcW w:type="dxa" w:w="4320"/>
          </w:tcPr>
          <w:p>
            <w:r>
              <w:t>—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  <w:tr>
        <w:tc>
          <w:tcPr>
            <w:tcW w:type="dxa" w:w="4320"/>
          </w:tcPr>
          <w:p>
            <w:r>
              <w:t>—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</w:tbl>
    <w:p>
      <w:pPr>
        <w:pStyle w:val="Heading1"/>
      </w:pPr>
      <w:r>
        <w:t>5. Hypothèses &amp; dépendances</w:t>
      </w:r>
    </w:p>
    <w:p>
      <w:pPr>
        <w:pStyle w:val="ListBullet"/>
      </w:pPr>
      <w:r>
        <w:t>Hypothèses (pré-requis, accès aux données, disponibilité des interlocuteurs, etc.).</w:t>
      </w:r>
    </w:p>
    <w:p>
      <w:pPr>
        <w:pStyle w:val="ListBullet"/>
      </w:pPr>
      <w:r>
        <w:t>Dépendances (projets connexes, fournisseurs, autorisations, infrastructures, etc.).</w:t>
      </w:r>
    </w:p>
    <w:p>
      <w:pPr>
        <w:pStyle w:val="Heading1"/>
      </w:pPr>
      <w:r>
        <w:t>6. Approche méthodologique</w:t>
      </w:r>
    </w:p>
    <w:p>
      <w:pPr>
        <w:pStyle w:val="ListBullet"/>
      </w:pPr>
      <w:r>
        <w:t>6.1 Principes : co-construction, inclusion, sécurité, conformité, durabilité, qualité.</w:t>
      </w:r>
    </w:p>
    <w:p>
      <w:pPr>
        <w:pStyle w:val="ListBullet"/>
      </w:pPr>
      <w:r>
        <w:t>6.2 Méthode générale : phases, itérations, livraisons incrémentales.</w:t>
      </w:r>
    </w:p>
    <w:p>
      <w:pPr>
        <w:pStyle w:val="ListBullet"/>
      </w:pPr>
      <w:r>
        <w:t>6.3 Outils &amp; cadres : RACI, gestion des risques, gestion documentaire, QA, mesures éthiques.</w:t>
      </w:r>
    </w:p>
    <w:p>
      <w:pPr>
        <w:pStyle w:val="Heading1"/>
      </w:pPr>
      <w:r>
        <w:t>7. Lots de travail (Work Packages)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WP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Activités clés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Livrables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Durée</w:t>
            </w:r>
          </w:p>
        </w:tc>
      </w:tr>
      <w:tr>
        <w:tc>
          <w:tcPr>
            <w:tcW w:type="dxa" w:w="1440"/>
          </w:tcPr>
          <w:p>
            <w:r>
              <w:t>WP1</w:t>
            </w:r>
          </w:p>
        </w:tc>
        <w:tc>
          <w:tcPr>
            <w:tcW w:type="dxa" w:w="1440"/>
          </w:tcPr>
          <w:p>
            <w:r>
              <w:t>[Objectif]</w:t>
            </w:r>
          </w:p>
        </w:tc>
        <w:tc>
          <w:tcPr>
            <w:tcW w:type="dxa" w:w="1440"/>
          </w:tcPr>
          <w:p>
            <w:r>
              <w:t>• …</w:t>
              <w:br/>
              <w:t>• …</w:t>
            </w:r>
          </w:p>
        </w:tc>
        <w:tc>
          <w:tcPr>
            <w:tcW w:type="dxa" w:w="1440"/>
          </w:tcPr>
          <w:p>
            <w:r>
              <w:t>• …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[Semaines/Mois]</w:t>
            </w:r>
          </w:p>
        </w:tc>
      </w:tr>
      <w:tr>
        <w:tc>
          <w:tcPr>
            <w:tcW w:type="dxa" w:w="1440"/>
          </w:tcPr>
          <w:p>
            <w:r>
              <w:t>WP2</w:t>
            </w:r>
          </w:p>
        </w:tc>
        <w:tc>
          <w:tcPr>
            <w:tcW w:type="dxa" w:w="1440"/>
          </w:tcPr>
          <w:p>
            <w:r>
              <w:t>[Objectif]</w:t>
            </w:r>
          </w:p>
        </w:tc>
        <w:tc>
          <w:tcPr>
            <w:tcW w:type="dxa" w:w="1440"/>
          </w:tcPr>
          <w:p>
            <w:r>
              <w:t>• …</w:t>
              <w:br/>
              <w:t>• …</w:t>
            </w:r>
          </w:p>
        </w:tc>
        <w:tc>
          <w:tcPr>
            <w:tcW w:type="dxa" w:w="1440"/>
          </w:tcPr>
          <w:p>
            <w:r>
              <w:t>• …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[Semaines/Mois]</w:t>
            </w:r>
          </w:p>
        </w:tc>
      </w:tr>
      <w:tr>
        <w:tc>
          <w:tcPr>
            <w:tcW w:type="dxa" w:w="1440"/>
          </w:tcPr>
          <w:p>
            <w:r>
              <w:t>WP3</w:t>
            </w:r>
          </w:p>
        </w:tc>
        <w:tc>
          <w:tcPr>
            <w:tcW w:type="dxa" w:w="1440"/>
          </w:tcPr>
          <w:p>
            <w:r>
              <w:t>[Objectif]</w:t>
            </w:r>
          </w:p>
        </w:tc>
        <w:tc>
          <w:tcPr>
            <w:tcW w:type="dxa" w:w="1440"/>
          </w:tcPr>
          <w:p>
            <w:r>
              <w:t>• …</w:t>
              <w:br/>
              <w:t>• …</w:t>
            </w:r>
          </w:p>
        </w:tc>
        <w:tc>
          <w:tcPr>
            <w:tcW w:type="dxa" w:w="1440"/>
          </w:tcPr>
          <w:p>
            <w:r>
              <w:t>• …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[Semaines/Mois]</w:t>
            </w:r>
          </w:p>
        </w:tc>
      </w:tr>
      <w:tr>
        <w:tc>
          <w:tcPr>
            <w:tcW w:type="dxa" w:w="1440"/>
          </w:tcPr>
          <w:p>
            <w:r>
              <w:t>WP4</w:t>
            </w:r>
          </w:p>
        </w:tc>
        <w:tc>
          <w:tcPr>
            <w:tcW w:type="dxa" w:w="1440"/>
          </w:tcPr>
          <w:p>
            <w:r>
              <w:t>[Objectif]</w:t>
            </w:r>
          </w:p>
        </w:tc>
        <w:tc>
          <w:tcPr>
            <w:tcW w:type="dxa" w:w="1440"/>
          </w:tcPr>
          <w:p>
            <w:r>
              <w:t>• …</w:t>
              <w:br/>
              <w:t>• …</w:t>
            </w:r>
          </w:p>
        </w:tc>
        <w:tc>
          <w:tcPr>
            <w:tcW w:type="dxa" w:w="1440"/>
          </w:tcPr>
          <w:p>
            <w:r>
              <w:t>• …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[Semaines/Mois]</w:t>
            </w:r>
          </w:p>
        </w:tc>
      </w:tr>
    </w:tbl>
    <w:p>
      <w:pPr>
        <w:pStyle w:val="Heading1"/>
      </w:pPr>
      <w:r>
        <w:t>8. Plan de travail &amp; calendrier (Gantt)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</w:tblGrid>
      <w:tr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Tâche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M1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M2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M3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M4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M5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M6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M7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M8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M9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M10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M11</w:t>
            </w:r>
          </w:p>
        </w:tc>
        <w:tc>
          <w:tcPr>
            <w:tcW w:type="dxa" w:w="665"/>
            <w:shd w:val="clear" w:color="auto" w:fill="D9D9D9"/>
            <w:vAlign w:val="center"/>
          </w:tcPr>
          <w:p>
            <w:r>
              <w:rPr>
                <w:b/>
              </w:rPr>
              <w:t>M12</w:t>
            </w:r>
          </w:p>
        </w:tc>
      </w:tr>
      <w:tr>
        <w:tc>
          <w:tcPr>
            <w:tcW w:type="dxa" w:w="665"/>
          </w:tcPr>
          <w:p>
            <w:r>
              <w:t>Analyse &amp; cadrage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  <w:tr>
        <w:tc>
          <w:tcPr>
            <w:tcW w:type="dxa" w:w="665"/>
          </w:tcPr>
          <w:p>
            <w:r>
              <w:t>Conception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  <w:tr>
        <w:tc>
          <w:tcPr>
            <w:tcW w:type="dxa" w:w="665"/>
          </w:tcPr>
          <w:p>
            <w:r>
              <w:t>Développement / Production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  <w:tr>
        <w:tc>
          <w:tcPr>
            <w:tcW w:type="dxa" w:w="665"/>
          </w:tcPr>
          <w:p>
            <w:r>
              <w:t>Tests &amp; QA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  <w:tr>
        <w:tc>
          <w:tcPr>
            <w:tcW w:type="dxa" w:w="665"/>
          </w:tcPr>
          <w:p>
            <w:r>
              <w:t>Déploiement / Formation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  <w:tr>
        <w:tc>
          <w:tcPr>
            <w:tcW w:type="dxa" w:w="665"/>
          </w:tcPr>
          <w:p>
            <w:r>
              <w:t>Clôture &amp; Handover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  <w:tc>
          <w:tcPr>
            <w:tcW w:type="dxa" w:w="665"/>
          </w:tcPr>
          <w:p>
            <w:r>
              <w:t>□</w:t>
            </w:r>
          </w:p>
        </w:tc>
      </w:tr>
    </w:tbl>
    <w:p>
      <w:r>
        <w:rPr>
          <w:i/>
          <w:sz w:val="18"/>
        </w:rPr>
        <w:t>Cochez les mois concernés pour chaque tâche. Ajoutez des sous-lignes si nécessaire.</w:t>
      </w:r>
    </w:p>
    <w:p>
      <w:pPr>
        <w:pStyle w:val="Heading1"/>
      </w:pPr>
      <w:r>
        <w:t>9. Gouvernance &amp; responsabilités (RACI)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Chef de projet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Expert métier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Data/QA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Communication/Partenaires</w:t>
            </w:r>
          </w:p>
        </w:tc>
      </w:tr>
      <w:tr>
        <w:tc>
          <w:tcPr>
            <w:tcW w:type="dxa" w:w="1440"/>
          </w:tcPr>
          <w:p>
            <w:r>
              <w:t>Cadrage &amp; validations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  <w:tr>
        <w:tc>
          <w:tcPr>
            <w:tcW w:type="dxa" w:w="1440"/>
          </w:tcPr>
          <w:p>
            <w:r>
              <w:t>Production livrables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  <w:tr>
        <w:tc>
          <w:tcPr>
            <w:tcW w:type="dxa" w:w="1440"/>
          </w:tcPr>
          <w:p>
            <w:r>
              <w:t>Tests utilisateurs / QA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  <w:tr>
        <w:tc>
          <w:tcPr>
            <w:tcW w:type="dxa" w:w="1440"/>
          </w:tcPr>
          <w:p>
            <w:r>
              <w:t>Formation / transfert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  <w:tr>
        <w:tc>
          <w:tcPr>
            <w:tcW w:type="dxa" w:w="1440"/>
          </w:tcPr>
          <w:p>
            <w:r>
              <w:t>Communication &amp; visibilité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  <w:tr>
        <w:tc>
          <w:tcPr>
            <w:tcW w:type="dxa" w:w="1440"/>
          </w:tcPr>
          <w:p>
            <w:r>
              <w:t>Suivi / reportings</w:t>
            </w:r>
          </w:p>
        </w:tc>
        <w:tc>
          <w:tcPr>
            <w:tcW w:type="dxa" w:w="1440"/>
          </w:tcPr>
          <w:p>
            <w:r>
              <w:t>[A/I]</w:t>
            </w:r>
          </w:p>
        </w:tc>
        <w:tc>
          <w:tcPr>
            <w:tcW w:type="dxa" w:w="1440"/>
          </w:tcPr>
          <w:p>
            <w:r>
              <w:t>[R]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[C]</w:t>
            </w:r>
          </w:p>
        </w:tc>
        <w:tc>
          <w:tcPr>
            <w:tcW w:type="dxa" w:w="1440"/>
          </w:tcPr>
          <w:p>
            <w:r>
              <w:t>[I]</w:t>
            </w:r>
          </w:p>
        </w:tc>
      </w:tr>
    </w:tbl>
    <w:p>
      <w:pPr>
        <w:pStyle w:val="Heading1"/>
      </w:pPr>
      <w:r>
        <w:t>10. Gestion des risques &amp; mesures d’atténuation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Score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Mesures d’atténuation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234"/>
          </w:tcPr>
          <w:p>
            <w:r>
              <w:t>Disponibilité limitée des parties prenantes</w:t>
            </w:r>
          </w:p>
        </w:tc>
        <w:tc>
          <w:tcPr>
            <w:tcW w:type="dxa" w:w="1234"/>
          </w:tcPr>
          <w:p>
            <w:r>
              <w:t>M</w:t>
            </w:r>
          </w:p>
        </w:tc>
        <w:tc>
          <w:tcPr>
            <w:tcW w:type="dxa" w:w="1234"/>
          </w:tcPr>
          <w:p>
            <w:r>
              <w:t>H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Planification en amont, créneaux alternatifs</w:t>
            </w:r>
          </w:p>
        </w:tc>
        <w:tc>
          <w:tcPr>
            <w:tcW w:type="dxa" w:w="1234"/>
          </w:tcPr>
          <w:p>
            <w:r>
              <w:t>[Nom]</w:t>
            </w:r>
          </w:p>
        </w:tc>
        <w:tc>
          <w:tcPr>
            <w:tcW w:type="dxa" w:w="1234"/>
          </w:tcPr>
          <w:p>
            <w:r>
              <w:t>Ouvert</w:t>
            </w:r>
          </w:p>
        </w:tc>
      </w:tr>
      <w:tr>
        <w:tc>
          <w:tcPr>
            <w:tcW w:type="dxa" w:w="1234"/>
          </w:tcPr>
          <w:p>
            <w:r>
              <w:t>Accès aux données restreint</w:t>
            </w:r>
          </w:p>
        </w:tc>
        <w:tc>
          <w:tcPr>
            <w:tcW w:type="dxa" w:w="1234"/>
          </w:tcPr>
          <w:p>
            <w:r>
              <w:t>M</w:t>
            </w:r>
          </w:p>
        </w:tc>
        <w:tc>
          <w:tcPr>
            <w:tcW w:type="dxa" w:w="1234"/>
          </w:tcPr>
          <w:p>
            <w:r>
              <w:t>M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Accords d’accès, anonymisation</w:t>
            </w:r>
          </w:p>
        </w:tc>
        <w:tc>
          <w:tcPr>
            <w:tcW w:type="dxa" w:w="1234"/>
          </w:tcPr>
          <w:p>
            <w:r>
              <w:t>[Nom]</w:t>
            </w:r>
          </w:p>
        </w:tc>
        <w:tc>
          <w:tcPr>
            <w:tcW w:type="dxa" w:w="1234"/>
          </w:tcPr>
          <w:p>
            <w:r>
              <w:t>Ouvert</w:t>
            </w:r>
          </w:p>
        </w:tc>
      </w:tr>
      <w:tr>
        <w:tc>
          <w:tcPr>
            <w:tcW w:type="dxa" w:w="1234"/>
          </w:tcPr>
          <w:p>
            <w:r>
              <w:t>Retards logistiques / fournisseurs</w:t>
            </w:r>
          </w:p>
        </w:tc>
        <w:tc>
          <w:tcPr>
            <w:tcW w:type="dxa" w:w="1234"/>
          </w:tcPr>
          <w:p>
            <w:r>
              <w:t>F</w:t>
            </w:r>
          </w:p>
        </w:tc>
        <w:tc>
          <w:tcPr>
            <w:tcW w:type="dxa" w:w="1234"/>
          </w:tcPr>
          <w:p>
            <w:r>
              <w:t>M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Buffers de planning, plans B</w:t>
            </w:r>
          </w:p>
        </w:tc>
        <w:tc>
          <w:tcPr>
            <w:tcW w:type="dxa" w:w="1234"/>
          </w:tcPr>
          <w:p>
            <w:r>
              <w:t>[Nom]</w:t>
            </w:r>
          </w:p>
        </w:tc>
        <w:tc>
          <w:tcPr>
            <w:tcW w:type="dxa" w:w="1234"/>
          </w:tcPr>
          <w:p>
            <w:r>
              <w:t>Ouvert</w:t>
            </w:r>
          </w:p>
        </w:tc>
      </w:tr>
    </w:tbl>
    <w:p>
      <w:pPr>
        <w:pStyle w:val="Heading1"/>
      </w:pPr>
      <w:r>
        <w:t>11. Assurance qualité &amp; conformité</w:t>
      </w:r>
    </w:p>
    <w:p>
      <w:pPr>
        <w:pStyle w:val="ListBullet"/>
      </w:pPr>
      <w:r>
        <w:t>Plans de test et critères d’acceptation pour chaque livrable.</w:t>
      </w:r>
    </w:p>
    <w:p>
      <w:pPr>
        <w:pStyle w:val="ListBullet"/>
      </w:pPr>
      <w:r>
        <w:t>Relectures croisées, validation par le client, gestion des versions.</w:t>
      </w:r>
    </w:p>
    <w:p>
      <w:pPr>
        <w:pStyle w:val="ListBullet"/>
      </w:pPr>
      <w:r>
        <w:t>Conformité réglementaire (protection des données, sécurité, propriété intellectuelle).</w:t>
      </w:r>
    </w:p>
    <w:p>
      <w:pPr>
        <w:pStyle w:val="Heading1"/>
      </w:pPr>
      <w:r>
        <w:t>12. Données, sécurité &amp; éthique</w:t>
      </w:r>
    </w:p>
    <w:p>
      <w:pPr>
        <w:pStyle w:val="ListBullet"/>
      </w:pPr>
      <w:r>
        <w:t>Gouvernance des données : collecte minimale, confidentialité, conservation, archivage.</w:t>
      </w:r>
    </w:p>
    <w:p>
      <w:pPr>
        <w:pStyle w:val="ListBullet"/>
      </w:pPr>
      <w:r>
        <w:t>Sécurité : accès restreint, sauvegardes, plan de continuité.</w:t>
      </w:r>
    </w:p>
    <w:p>
      <w:pPr>
        <w:pStyle w:val="ListBullet"/>
      </w:pPr>
      <w:r>
        <w:t>Éthique : consentements, anonymisation, chartes de bonne conduite.</w:t>
      </w:r>
    </w:p>
    <w:p>
      <w:pPr>
        <w:pStyle w:val="Heading1"/>
      </w:pPr>
      <w:r>
        <w:t>13. Suivi-Évaluation (KPIs)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Définition / Méthode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Base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Source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234"/>
            <w:shd w:val="clear" w:color="auto" w:fill="D9D9D9"/>
            <w:vAlign w:val="center"/>
          </w:tcPr>
          <w:p>
            <w:r>
              <w:rPr>
                <w:b/>
              </w:rPr>
              <w:t>Responsable</w:t>
            </w:r>
          </w:p>
        </w:tc>
      </w:tr>
      <w:tr>
        <w:tc>
          <w:tcPr>
            <w:tcW w:type="dxa" w:w="1234"/>
          </w:tcPr>
          <w:p>
            <w:r>
              <w:t>% livrables validés à temps</w:t>
            </w:r>
          </w:p>
        </w:tc>
        <w:tc>
          <w:tcPr>
            <w:tcW w:type="dxa" w:w="1234"/>
          </w:tcPr>
          <w:p>
            <w:r>
              <w:t>Livrables validés / livrables planifiés</w:t>
            </w:r>
          </w:p>
        </w:tc>
        <w:tc>
          <w:tcPr>
            <w:tcW w:type="dxa" w:w="1234"/>
          </w:tcPr>
          <w:p>
            <w:r>
              <w:t>0</w:t>
            </w:r>
          </w:p>
        </w:tc>
        <w:tc>
          <w:tcPr>
            <w:tcW w:type="dxa" w:w="1234"/>
          </w:tcPr>
          <w:p>
            <w:r>
              <w:t>≥95%</w:t>
            </w:r>
          </w:p>
        </w:tc>
        <w:tc>
          <w:tcPr>
            <w:tcW w:type="dxa" w:w="1234"/>
          </w:tcPr>
          <w:p>
            <w:r>
              <w:t>Jalons</w:t>
            </w:r>
          </w:p>
        </w:tc>
        <w:tc>
          <w:tcPr>
            <w:tcW w:type="dxa" w:w="1234"/>
          </w:tcPr>
          <w:p>
            <w:r>
              <w:t>Mensuel</w:t>
            </w:r>
          </w:p>
        </w:tc>
        <w:tc>
          <w:tcPr>
            <w:tcW w:type="dxa" w:w="1234"/>
          </w:tcPr>
          <w:p>
            <w:r>
              <w:t>[Nom]</w:t>
            </w:r>
          </w:p>
        </w:tc>
      </w:tr>
      <w:tr>
        <w:tc>
          <w:tcPr>
            <w:tcW w:type="dxa" w:w="1234"/>
          </w:tcPr>
          <w:p>
            <w:r>
              <w:t>Satisfaction client (1–5)</w:t>
            </w:r>
          </w:p>
        </w:tc>
        <w:tc>
          <w:tcPr>
            <w:tcW w:type="dxa" w:w="1234"/>
          </w:tcPr>
          <w:p>
            <w:r>
              <w:t>Score moyen post-livraison</w:t>
            </w:r>
          </w:p>
        </w:tc>
        <w:tc>
          <w:tcPr>
            <w:tcW w:type="dxa" w:w="1234"/>
          </w:tcPr>
          <w:p>
            <w:r>
              <w:t>-</w:t>
            </w:r>
          </w:p>
        </w:tc>
        <w:tc>
          <w:tcPr>
            <w:tcW w:type="dxa" w:w="1234"/>
          </w:tcPr>
          <w:p>
            <w:r>
              <w:t>≥4.5</w:t>
            </w:r>
          </w:p>
        </w:tc>
        <w:tc>
          <w:tcPr>
            <w:tcW w:type="dxa" w:w="1234"/>
          </w:tcPr>
          <w:p>
            <w:r>
              <w:t>Enquêtes</w:t>
            </w:r>
          </w:p>
        </w:tc>
        <w:tc>
          <w:tcPr>
            <w:tcW w:type="dxa" w:w="1234"/>
          </w:tcPr>
          <w:p>
            <w:r>
              <w:t>Par jalon</w:t>
            </w:r>
          </w:p>
        </w:tc>
        <w:tc>
          <w:tcPr>
            <w:tcW w:type="dxa" w:w="1234"/>
          </w:tcPr>
          <w:p>
            <w:r>
              <w:t>[Nom]</w:t>
            </w:r>
          </w:p>
        </w:tc>
      </w:tr>
    </w:tbl>
    <w:p>
      <w:pPr>
        <w:pStyle w:val="Heading1"/>
      </w:pPr>
      <w:r>
        <w:t>14. Parties prenantes &amp; plan de communication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Partie prenante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Intérêt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Influence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Stratégie d’engagement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Canaux / Fréquence</w:t>
            </w:r>
          </w:p>
        </w:tc>
      </w:tr>
      <w:tr>
        <w:tc>
          <w:tcPr>
            <w:tcW w:type="dxa" w:w="1728"/>
          </w:tcPr>
          <w:p>
            <w:r>
              <w:t>[Nom / Groupe]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Informer / Consulter / Impliquer / Co-décider</w:t>
            </w:r>
          </w:p>
        </w:tc>
        <w:tc>
          <w:tcPr>
            <w:tcW w:type="dxa" w:w="1728"/>
          </w:tcPr>
          <w:p>
            <w:r>
              <w:t>Réunions / Emails / Ateliers — Hebdo/Mensuel</w:t>
            </w:r>
          </w:p>
        </w:tc>
      </w:tr>
      <w:tr>
        <w:tc>
          <w:tcPr>
            <w:tcW w:type="dxa" w:w="1728"/>
          </w:tcPr>
          <w:p>
            <w:r>
              <w:t>[Nom / Groupe]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Informer / Consulter / Impliquer / Co-décider</w:t>
            </w:r>
          </w:p>
        </w:tc>
        <w:tc>
          <w:tcPr>
            <w:tcW w:type="dxa" w:w="1728"/>
          </w:tcPr>
          <w:p>
            <w:r>
              <w:t>Réunions / Emails / Ateliers — Hebdo/Mensuel</w:t>
            </w:r>
          </w:p>
        </w:tc>
      </w:tr>
      <w:tr>
        <w:tc>
          <w:tcPr>
            <w:tcW w:type="dxa" w:w="1728"/>
          </w:tcPr>
          <w:p>
            <w:r>
              <w:t>[Nom / Groupe]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Informer / Consulter / Impliquer / Co-décider</w:t>
            </w:r>
          </w:p>
        </w:tc>
        <w:tc>
          <w:tcPr>
            <w:tcW w:type="dxa" w:w="1728"/>
          </w:tcPr>
          <w:p>
            <w:r>
              <w:t>Réunions / Emails / Ateliers — Hebdo/Mensuel</w:t>
            </w:r>
          </w:p>
        </w:tc>
      </w:tr>
      <w:tr>
        <w:tc>
          <w:tcPr>
            <w:tcW w:type="dxa" w:w="1728"/>
          </w:tcPr>
          <w:p>
            <w:r>
              <w:t>[Nom / Groupe]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Informer / Consulter / Impliquer / Co-décider</w:t>
            </w:r>
          </w:p>
        </w:tc>
        <w:tc>
          <w:tcPr>
            <w:tcW w:type="dxa" w:w="1728"/>
          </w:tcPr>
          <w:p>
            <w:r>
              <w:t>Réunions / Emails / Ateliers — Hebdo/Mensuel</w:t>
            </w:r>
          </w:p>
        </w:tc>
      </w:tr>
      <w:tr>
        <w:tc>
          <w:tcPr>
            <w:tcW w:type="dxa" w:w="1728"/>
          </w:tcPr>
          <w:p>
            <w:r>
              <w:t>[Nom / Groupe]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Informer / Consulter / Impliquer / Co-décider</w:t>
            </w:r>
          </w:p>
        </w:tc>
        <w:tc>
          <w:tcPr>
            <w:tcW w:type="dxa" w:w="1728"/>
          </w:tcPr>
          <w:p>
            <w:r>
              <w:t>Réunions / Emails / Ateliers — Hebdo/Mensuel</w:t>
            </w:r>
          </w:p>
        </w:tc>
      </w:tr>
    </w:tbl>
    <w:p>
      <w:pPr>
        <w:pStyle w:val="Heading1"/>
      </w:pPr>
      <w:r>
        <w:t>15. Budget récapitulatif &amp; jalons de paiement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Coût unitaire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Total</w:t>
            </w:r>
          </w:p>
        </w:tc>
        <w:tc>
          <w:tcPr>
            <w:tcW w:type="dxa" w:w="1440"/>
            <w:shd w:val="clear" w:color="auto" w:fill="D9D9D9"/>
            <w:vAlign w:val="center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40"/>
          </w:tcPr>
          <w:p>
            <w:r>
              <w:t>Cadrage &amp; ateliers</w:t>
            </w:r>
          </w:p>
        </w:tc>
        <w:tc>
          <w:tcPr>
            <w:tcW w:type="dxa" w:w="1440"/>
          </w:tcPr>
          <w:p>
            <w:r>
              <w:t>Forfait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Production / Développement</w:t>
            </w:r>
          </w:p>
        </w:tc>
        <w:tc>
          <w:tcPr>
            <w:tcW w:type="dxa" w:w="1440"/>
          </w:tcPr>
          <w:p>
            <w:r>
              <w:t>Jour-homme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Tests / QA</w:t>
            </w:r>
          </w:p>
        </w:tc>
        <w:tc>
          <w:tcPr>
            <w:tcW w:type="dxa" w:w="1440"/>
          </w:tcPr>
          <w:p>
            <w:r>
              <w:t>Jour-homme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Formation / Handover</w:t>
            </w:r>
          </w:p>
        </w:tc>
        <w:tc>
          <w:tcPr>
            <w:tcW w:type="dxa" w:w="1440"/>
          </w:tcPr>
          <w:p>
            <w:r>
              <w:t>Session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Gestion de projet</w:t>
            </w:r>
          </w:p>
        </w:tc>
        <w:tc>
          <w:tcPr>
            <w:tcW w:type="dxa" w:w="1440"/>
          </w:tcPr>
          <w:p>
            <w:r>
              <w:t>Mois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>
      <w:r>
        <w:rPr>
          <w:i/>
          <w:sz w:val="18"/>
        </w:rPr>
        <w:t>Exemple de jalons : 40% au cadrage validé, 40% aux livrables principaux validés, 20% à la clôture et transfert.</w:t>
      </w:r>
    </w:p>
    <w:p>
      <w:pPr>
        <w:pStyle w:val="Heading1"/>
      </w:pPr>
      <w:r>
        <w:t>16. Durabilité &amp; transfert (soutenabilité)</w:t>
      </w:r>
    </w:p>
    <w:p>
      <w:pPr>
        <w:pStyle w:val="ListBullet"/>
      </w:pPr>
      <w:r>
        <w:t>Plan de transfert de compétences et documentation utilisateur.</w:t>
      </w:r>
    </w:p>
    <w:p>
      <w:pPr>
        <w:pStyle w:val="ListBullet"/>
      </w:pPr>
      <w:r>
        <w:t>Plan de maintenance / exploitation post-projet.</w:t>
      </w:r>
    </w:p>
    <w:p>
      <w:pPr>
        <w:pStyle w:val="ListBullet"/>
      </w:pPr>
      <w:r>
        <w:t>Indicateurs de pérennité et gouvernance de reprise.</w:t>
      </w:r>
    </w:p>
    <w:p>
      <w:pPr>
        <w:pStyle w:val="Heading1"/>
      </w:pPr>
      <w:r>
        <w:t>17. Annexes</w:t>
      </w:r>
    </w:p>
    <w:p>
      <w:pPr>
        <w:pStyle w:val="Heading2"/>
      </w:pPr>
      <w:r>
        <w:t>A. Checklist conformité TDR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D9D9D9"/>
            <w:vAlign w:val="center"/>
          </w:tcPr>
          <w:p>
            <w:r>
              <w:rPr>
                <w:b/>
              </w:rPr>
              <w:t>✓/□</w:t>
            </w:r>
          </w:p>
        </w:tc>
        <w:tc>
          <w:tcPr>
            <w:tcW w:type="dxa" w:w="4320"/>
            <w:shd w:val="clear" w:color="auto" w:fill="D9D9D9"/>
            <w:vAlign w:val="center"/>
          </w:tcPr>
          <w:p>
            <w:r>
              <w:rPr>
                <w:b/>
              </w:rPr>
              <w:t>Exigence / Élément à vérifier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Objectifs alignés aux TDR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Périmètre et livrables détaillés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Calendrier réaliste et jalons clairs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RACI et gouvernance définis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Plan de risques et QA documentés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Budget détaillé et jalons de paiement</w:t>
            </w:r>
          </w:p>
        </w:tc>
      </w:tr>
      <w:tr>
        <w:tc>
          <w:tcPr>
            <w:tcW w:type="dxa" w:w="4320"/>
          </w:tcPr>
          <w:p>
            <w:r>
              <w:t>□</w:t>
            </w:r>
          </w:p>
        </w:tc>
        <w:tc>
          <w:tcPr>
            <w:tcW w:type="dxa" w:w="4320"/>
          </w:tcPr>
          <w:p>
            <w:r>
              <w:t>Conformité éthique / données / sécurité</w:t>
            </w:r>
          </w:p>
        </w:tc>
      </w:tr>
    </w:tbl>
    <w:p>
      <w:pPr>
        <w:pStyle w:val="Heading2"/>
      </w:pPr>
      <w:r>
        <w:t>B. Modèle de CR de réunion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Décisions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Actions</w:t>
            </w:r>
          </w:p>
        </w:tc>
        <w:tc>
          <w:tcPr>
            <w:tcW w:type="dxa" w:w="1728"/>
            <w:shd w:val="clear" w:color="auto" w:fill="D9D9D9"/>
            <w:vAlign w:val="center"/>
          </w:tcPr>
          <w:p>
            <w:r>
              <w:rPr>
                <w:b/>
              </w:rPr>
              <w:t>Échéances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>
      <w:pPr>
        <w:pStyle w:val="Heading2"/>
      </w:pPr>
      <w:r>
        <w:t>C. Registre des changements (Change log)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D9D9D9"/>
            <w:vAlign w:val="center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160"/>
            <w:shd w:val="clear" w:color="auto" w:fill="D9D9D9"/>
            <w:vAlign w:val="center"/>
          </w:tcPr>
          <w:p>
            <w:r>
              <w:rPr>
                <w:b/>
              </w:rPr>
              <w:t>Changement</w:t>
            </w:r>
          </w:p>
        </w:tc>
        <w:tc>
          <w:tcPr>
            <w:tcW w:type="dxa" w:w="2160"/>
            <w:shd w:val="clear" w:color="auto" w:fill="D9D9D9"/>
            <w:vAlign w:val="center"/>
          </w:tcPr>
          <w:p>
            <w:r>
              <w:rPr>
                <w:b/>
              </w:rPr>
              <w:t>Motif</w:t>
            </w:r>
          </w:p>
        </w:tc>
        <w:tc>
          <w:tcPr>
            <w:tcW w:type="dxa" w:w="2160"/>
            <w:shd w:val="clear" w:color="auto" w:fill="D9D9D9"/>
            <w:vAlign w:val="center"/>
          </w:tcPr>
          <w:p>
            <w:r>
              <w:rPr>
                <w:b/>
              </w:rPr>
              <w:t>Approuvé par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</w:tbl>
    <w:p>
      <w:pPr>
        <w:spacing w:after="160"/>
      </w:pPr>
    </w:p>
    <w:p>
      <w:r>
        <w:rPr>
          <w:i/>
          <w:sz w:val="18"/>
        </w:rPr>
        <w:t>Canevas générique — remplacez les champs [À compléter], cochez les cases, adaptez les tableaux à votre projet X, puis exportez en PDF.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